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91" w:rsidRPr="00CD0820" w:rsidRDefault="004A2891" w:rsidP="00D4796B">
      <w:pPr>
        <w:spacing w:after="600" w:line="360" w:lineRule="auto"/>
        <w:jc w:val="center"/>
        <w:rPr>
          <w:rFonts w:ascii="Times New Roman" w:hAnsi="Times New Roman"/>
        </w:rPr>
      </w:pPr>
      <w:r w:rsidRPr="00CD0820">
        <w:rPr>
          <w:rFonts w:ascii="Times New Roman" w:hAnsi="Times New Roman"/>
        </w:rPr>
        <w:tab/>
      </w:r>
      <w:r w:rsidRPr="00CD0820">
        <w:rPr>
          <w:rFonts w:ascii="Times New Roman" w:hAnsi="Times New Roman"/>
        </w:rPr>
        <w:tab/>
      </w:r>
      <w:r w:rsidRPr="00CD0820">
        <w:rPr>
          <w:rFonts w:ascii="Times New Roman" w:hAnsi="Times New Roman"/>
        </w:rPr>
        <w:tab/>
      </w:r>
      <w:r w:rsidRPr="00CD0820">
        <w:rPr>
          <w:rFonts w:ascii="Times New Roman" w:hAnsi="Times New Roman"/>
        </w:rPr>
        <w:tab/>
      </w:r>
      <w:r w:rsidRPr="00CD0820">
        <w:rPr>
          <w:rFonts w:ascii="Times New Roman" w:hAnsi="Times New Roman"/>
        </w:rPr>
        <w:tab/>
      </w:r>
      <w:r>
        <w:rPr>
          <w:rFonts w:ascii="Times New Roman" w:hAnsi="Times New Roman"/>
        </w:rPr>
        <w:tab/>
        <w:t>Gdańsk</w:t>
      </w:r>
      <w:r w:rsidRPr="00CD0820">
        <w:rPr>
          <w:rFonts w:ascii="Times New Roman" w:hAnsi="Times New Roman"/>
        </w:rPr>
        <w:t>, dnia</w:t>
      </w:r>
      <w:r>
        <w:rPr>
          <w:rFonts w:ascii="Times New Roman" w:hAnsi="Times New Roman"/>
        </w:rPr>
        <w:t xml:space="preserve"> 1 lipca 2013 </w:t>
      </w:r>
      <w:r w:rsidRPr="00CD0820">
        <w:rPr>
          <w:rFonts w:ascii="Times New Roman" w:hAnsi="Times New Roman"/>
        </w:rPr>
        <w:t>r.</w:t>
      </w:r>
    </w:p>
    <w:p w:rsidR="004A2891" w:rsidRPr="00CD0820" w:rsidRDefault="004A2891" w:rsidP="00D4796B">
      <w:pPr>
        <w:spacing w:after="0" w:line="360" w:lineRule="auto"/>
        <w:rPr>
          <w:rFonts w:ascii="Times New Roman" w:hAnsi="Times New Roman"/>
          <w:b/>
        </w:rPr>
      </w:pPr>
      <w:r w:rsidRPr="00CD0820">
        <w:rPr>
          <w:rFonts w:ascii="Times New Roman" w:hAnsi="Times New Roman"/>
          <w:b/>
        </w:rPr>
        <w:t xml:space="preserve">Ogólnopolskie Stowarzyszenie Agentów Turystycznych </w:t>
      </w:r>
    </w:p>
    <w:p w:rsidR="004A2891" w:rsidRDefault="004A2891" w:rsidP="005C319C">
      <w:pPr>
        <w:spacing w:after="0" w:line="360" w:lineRule="auto"/>
        <w:rPr>
          <w:rFonts w:ascii="Times New Roman" w:hAnsi="Times New Roman"/>
        </w:rPr>
      </w:pPr>
      <w:r>
        <w:rPr>
          <w:rFonts w:ascii="Times New Roman" w:hAnsi="Times New Roman"/>
        </w:rPr>
        <w:t>adres do korespondencji:</w:t>
      </w:r>
    </w:p>
    <w:p w:rsidR="004A2891" w:rsidRPr="00CD0820" w:rsidRDefault="004A2891" w:rsidP="005C319C">
      <w:pPr>
        <w:spacing w:after="0" w:line="360" w:lineRule="auto"/>
        <w:rPr>
          <w:rFonts w:ascii="Times New Roman" w:hAnsi="Times New Roman"/>
        </w:rPr>
      </w:pPr>
      <w:r w:rsidRPr="00CD0820">
        <w:rPr>
          <w:rFonts w:ascii="Times New Roman" w:hAnsi="Times New Roman"/>
        </w:rPr>
        <w:t xml:space="preserve">ul. </w:t>
      </w:r>
      <w:r>
        <w:rPr>
          <w:rFonts w:ascii="Times New Roman" w:hAnsi="Times New Roman"/>
        </w:rPr>
        <w:t>Daszyńskiego</w:t>
      </w:r>
      <w:r w:rsidRPr="00CD0820">
        <w:rPr>
          <w:rFonts w:ascii="Times New Roman" w:hAnsi="Times New Roman"/>
        </w:rPr>
        <w:t xml:space="preserve"> 9</w:t>
      </w:r>
    </w:p>
    <w:p w:rsidR="004A2891" w:rsidRDefault="004A2891" w:rsidP="005C319C">
      <w:pPr>
        <w:spacing w:after="120" w:line="360" w:lineRule="auto"/>
        <w:rPr>
          <w:rFonts w:ascii="Times New Roman" w:hAnsi="Times New Roman"/>
        </w:rPr>
      </w:pPr>
      <w:r w:rsidRPr="00CD0820">
        <w:rPr>
          <w:rFonts w:ascii="Times New Roman" w:hAnsi="Times New Roman"/>
        </w:rPr>
        <w:t>05-</w:t>
      </w:r>
      <w:r>
        <w:rPr>
          <w:rFonts w:ascii="Times New Roman" w:hAnsi="Times New Roman"/>
        </w:rPr>
        <w:t>100</w:t>
      </w:r>
      <w:r w:rsidRPr="00CD0820">
        <w:rPr>
          <w:rFonts w:ascii="Times New Roman" w:hAnsi="Times New Roman"/>
        </w:rPr>
        <w:t xml:space="preserve"> </w:t>
      </w:r>
      <w:r>
        <w:rPr>
          <w:rFonts w:ascii="Times New Roman" w:hAnsi="Times New Roman"/>
        </w:rPr>
        <w:t>Nowy Dwór</w:t>
      </w:r>
      <w:r w:rsidRPr="00CD0820">
        <w:rPr>
          <w:rFonts w:ascii="Times New Roman" w:hAnsi="Times New Roman"/>
        </w:rPr>
        <w:t xml:space="preserve"> Mazowiecki   </w:t>
      </w:r>
    </w:p>
    <w:p w:rsidR="004A2891" w:rsidRDefault="004A2891" w:rsidP="005C319C">
      <w:pPr>
        <w:spacing w:after="120" w:line="360" w:lineRule="auto"/>
        <w:rPr>
          <w:rFonts w:ascii="Times New Roman" w:hAnsi="Times New Roman"/>
        </w:rPr>
      </w:pPr>
      <w:r>
        <w:rPr>
          <w:rFonts w:ascii="Times New Roman" w:hAnsi="Times New Roman"/>
        </w:rPr>
        <w:t>reprezentowane przez radcę pr. Grzegorza Klehra</w:t>
      </w:r>
    </w:p>
    <w:p w:rsidR="004A2891" w:rsidRDefault="004A2891" w:rsidP="00F03DFF">
      <w:pPr>
        <w:spacing w:after="0" w:line="360" w:lineRule="auto"/>
        <w:rPr>
          <w:rFonts w:ascii="Times New Roman" w:hAnsi="Times New Roman"/>
        </w:rPr>
      </w:pPr>
      <w:r>
        <w:rPr>
          <w:rFonts w:ascii="Times New Roman" w:hAnsi="Times New Roman"/>
        </w:rPr>
        <w:t>Kancelaria Radcy Prawnego Grzegorz Klehr</w:t>
      </w:r>
    </w:p>
    <w:p w:rsidR="004A2891" w:rsidRDefault="004A2891" w:rsidP="00F03DFF">
      <w:pPr>
        <w:spacing w:after="0" w:line="360" w:lineRule="auto"/>
        <w:rPr>
          <w:rFonts w:ascii="Times New Roman" w:hAnsi="Times New Roman"/>
        </w:rPr>
      </w:pPr>
      <w:r>
        <w:rPr>
          <w:rFonts w:ascii="Times New Roman" w:hAnsi="Times New Roman"/>
        </w:rPr>
        <w:t xml:space="preserve">ul. Strzelecka 7b </w:t>
      </w:r>
    </w:p>
    <w:p w:rsidR="004A2891" w:rsidRDefault="004A2891" w:rsidP="005C319C">
      <w:pPr>
        <w:spacing w:after="120" w:line="360" w:lineRule="auto"/>
        <w:rPr>
          <w:rFonts w:ascii="Times New Roman" w:hAnsi="Times New Roman"/>
        </w:rPr>
      </w:pPr>
      <w:r>
        <w:rPr>
          <w:rFonts w:ascii="Times New Roman" w:hAnsi="Times New Roman"/>
        </w:rPr>
        <w:t>80-803 Gdańsk</w:t>
      </w:r>
    </w:p>
    <w:p w:rsidR="004A2891" w:rsidRPr="00CD0820" w:rsidRDefault="004A2891" w:rsidP="005C319C">
      <w:pPr>
        <w:spacing w:line="360" w:lineRule="auto"/>
        <w:rPr>
          <w:rFonts w:ascii="Times New Roman" w:hAnsi="Times New Roman"/>
        </w:rPr>
      </w:pPr>
    </w:p>
    <w:p w:rsidR="004A2891" w:rsidRPr="00CD0820" w:rsidRDefault="004A2891" w:rsidP="005C319C">
      <w:pPr>
        <w:spacing w:after="0" w:line="360" w:lineRule="auto"/>
        <w:ind w:left="3538" w:firstLine="709"/>
        <w:rPr>
          <w:rFonts w:ascii="Times New Roman" w:hAnsi="Times New Roman"/>
          <w:b/>
          <w:smallCaps/>
        </w:rPr>
      </w:pPr>
      <w:r>
        <w:rPr>
          <w:rFonts w:ascii="Times New Roman" w:hAnsi="Times New Roman"/>
          <w:b/>
          <w:smallCaps/>
        </w:rPr>
        <w:t xml:space="preserve">Neckermann Polska Biuro Podróży </w:t>
      </w:r>
      <w:r w:rsidRPr="00CD0820">
        <w:rPr>
          <w:rFonts w:ascii="Times New Roman" w:hAnsi="Times New Roman"/>
          <w:b/>
          <w:smallCaps/>
        </w:rPr>
        <w:t xml:space="preserve"> </w:t>
      </w:r>
    </w:p>
    <w:p w:rsidR="004A2891" w:rsidRPr="00CD0820" w:rsidRDefault="004A2891" w:rsidP="005C319C">
      <w:pPr>
        <w:spacing w:after="0" w:line="360" w:lineRule="auto"/>
        <w:ind w:left="3538" w:firstLine="709"/>
        <w:rPr>
          <w:rFonts w:ascii="Times New Roman" w:hAnsi="Times New Roman"/>
          <w:b/>
          <w:smallCaps/>
        </w:rPr>
      </w:pPr>
      <w:r w:rsidRPr="00CD0820">
        <w:rPr>
          <w:rFonts w:ascii="Times New Roman" w:hAnsi="Times New Roman"/>
          <w:b/>
          <w:smallCaps/>
        </w:rPr>
        <w:t>Spółka z ograniczoną odpowiedzialnością</w:t>
      </w:r>
    </w:p>
    <w:p w:rsidR="004A2891" w:rsidRPr="00CD0820" w:rsidRDefault="004A2891" w:rsidP="005C319C">
      <w:pPr>
        <w:spacing w:after="0" w:line="360" w:lineRule="auto"/>
        <w:ind w:left="3538" w:firstLine="709"/>
        <w:rPr>
          <w:rFonts w:ascii="Times New Roman" w:hAnsi="Times New Roman"/>
          <w:smallCaps/>
        </w:rPr>
      </w:pPr>
      <w:r w:rsidRPr="00CD0820">
        <w:rPr>
          <w:rFonts w:ascii="Times New Roman" w:hAnsi="Times New Roman"/>
          <w:smallCaps/>
        </w:rPr>
        <w:t>ul.</w:t>
      </w:r>
      <w:r>
        <w:rPr>
          <w:rFonts w:ascii="Times New Roman" w:hAnsi="Times New Roman"/>
          <w:smallCaps/>
        </w:rPr>
        <w:t xml:space="preserve"> Dubois 9 </w:t>
      </w:r>
    </w:p>
    <w:p w:rsidR="004A2891" w:rsidRPr="00E009BE" w:rsidRDefault="004A2891" w:rsidP="00AC3765">
      <w:pPr>
        <w:spacing w:after="720" w:line="360" w:lineRule="auto"/>
        <w:ind w:left="3538" w:firstLine="709"/>
        <w:rPr>
          <w:rFonts w:ascii="Times New Roman" w:hAnsi="Times New Roman"/>
          <w:smallCaps/>
        </w:rPr>
      </w:pPr>
      <w:r>
        <w:rPr>
          <w:rFonts w:ascii="Times New Roman" w:hAnsi="Times New Roman"/>
          <w:smallCaps/>
        </w:rPr>
        <w:t>00-182 Warszawa</w:t>
      </w:r>
      <w:r w:rsidRPr="00CD0820">
        <w:rPr>
          <w:rFonts w:ascii="Times New Roman" w:hAnsi="Times New Roman"/>
          <w:smallCaps/>
        </w:rPr>
        <w:t xml:space="preserve"> </w:t>
      </w:r>
      <w:r w:rsidRPr="00CD0820">
        <w:rPr>
          <w:rFonts w:ascii="Times New Roman" w:hAnsi="Times New Roman"/>
        </w:rPr>
        <w:tab/>
      </w:r>
      <w:r w:rsidRPr="00CD0820">
        <w:rPr>
          <w:rFonts w:ascii="Times New Roman" w:hAnsi="Times New Roman"/>
        </w:rPr>
        <w:tab/>
      </w:r>
      <w:r w:rsidRPr="00CD0820">
        <w:rPr>
          <w:rFonts w:ascii="Times New Roman" w:hAnsi="Times New Roman"/>
        </w:rPr>
        <w:tab/>
      </w:r>
      <w:r w:rsidRPr="00CD0820">
        <w:rPr>
          <w:rFonts w:ascii="Times New Roman" w:hAnsi="Times New Roman"/>
        </w:rPr>
        <w:tab/>
      </w:r>
    </w:p>
    <w:p w:rsidR="004A2891" w:rsidRDefault="004A2891" w:rsidP="00F23705">
      <w:pPr>
        <w:spacing w:after="240" w:line="360" w:lineRule="auto"/>
        <w:jc w:val="both"/>
        <w:rPr>
          <w:rFonts w:ascii="Times New Roman" w:hAnsi="Times New Roman"/>
          <w:b/>
          <w:smallCaps/>
        </w:rPr>
      </w:pPr>
      <w:r>
        <w:rPr>
          <w:rFonts w:ascii="Times New Roman" w:hAnsi="Times New Roman"/>
          <w:b/>
          <w:smallCaps/>
        </w:rPr>
        <w:t xml:space="preserve">Dotyczy: rozliczania prowizji z umów agencyjnych zawartych z Agentami turystycznymi   </w:t>
      </w:r>
    </w:p>
    <w:p w:rsidR="004A2891" w:rsidRPr="00F03DFF" w:rsidRDefault="004A2891" w:rsidP="00F23705">
      <w:pPr>
        <w:spacing w:after="240" w:line="360" w:lineRule="auto"/>
        <w:jc w:val="both"/>
        <w:rPr>
          <w:rFonts w:ascii="Times New Roman" w:hAnsi="Times New Roman"/>
        </w:rPr>
      </w:pPr>
      <w:r w:rsidRPr="00F03DFF">
        <w:rPr>
          <w:rFonts w:ascii="Times New Roman" w:hAnsi="Times New Roman"/>
        </w:rPr>
        <w:t>Szanowny Państwo,</w:t>
      </w:r>
    </w:p>
    <w:p w:rsidR="004A2891" w:rsidRPr="00F03DFF" w:rsidRDefault="004A2891" w:rsidP="004E39FF">
      <w:pPr>
        <w:spacing w:after="120" w:line="360" w:lineRule="auto"/>
        <w:jc w:val="both"/>
        <w:rPr>
          <w:rFonts w:ascii="Times New Roman" w:hAnsi="Times New Roman"/>
        </w:rPr>
      </w:pPr>
      <w:r w:rsidRPr="00CD0820">
        <w:rPr>
          <w:rFonts w:ascii="Times New Roman" w:hAnsi="Times New Roman"/>
        </w:rPr>
        <w:t xml:space="preserve">Działając w imieniu Ogólnopolskiego Stowarzyszenia Agentów Turystycznych z siedzibą w </w:t>
      </w:r>
      <w:r>
        <w:rPr>
          <w:rFonts w:ascii="Times New Roman" w:hAnsi="Times New Roman"/>
        </w:rPr>
        <w:t xml:space="preserve">Nowym Dworze Mazowieckim (zwanego dalej „Stowarzyszeniem”), jako jego pełnomocnik, uprzejmie proszę o </w:t>
      </w:r>
      <w:r w:rsidRPr="00F03DFF">
        <w:rPr>
          <w:rFonts w:ascii="Times New Roman" w:hAnsi="Times New Roman"/>
        </w:rPr>
        <w:t>respektowani</w:t>
      </w:r>
      <w:r>
        <w:rPr>
          <w:rFonts w:ascii="Times New Roman" w:hAnsi="Times New Roman"/>
        </w:rPr>
        <w:t>e</w:t>
      </w:r>
      <w:r w:rsidRPr="00F03DFF">
        <w:rPr>
          <w:rFonts w:ascii="Times New Roman" w:hAnsi="Times New Roman"/>
        </w:rPr>
        <w:t xml:space="preserve"> postanowień zawartych z Agentami turystycznymi umów agencyjnych, w szczególności w zakresie rozliczania prowizji z tytułu sprzedaży produktów turystycznych.  </w:t>
      </w:r>
    </w:p>
    <w:p w:rsidR="004A2891" w:rsidRDefault="004A2891" w:rsidP="00022146">
      <w:pPr>
        <w:spacing w:after="120" w:line="360" w:lineRule="exact"/>
        <w:jc w:val="both"/>
        <w:rPr>
          <w:rFonts w:ascii="Times New Roman" w:hAnsi="Times New Roman"/>
        </w:rPr>
      </w:pPr>
      <w:r>
        <w:rPr>
          <w:rFonts w:ascii="Times New Roman" w:hAnsi="Times New Roman"/>
        </w:rPr>
        <w:t xml:space="preserve">Agenci turystyczni od wielu lat współpracują z Neckermann Polska w zakresie sprzedaży produktów turystycznych Neckermann, na podstawie zawartych przez Strony umów agencyjnych. Umowy agencyjne regulują również kwestie dotyczące naliczania i zapłaty prowizji należnej Agentom z tytułu wykonania umowy. </w:t>
      </w:r>
    </w:p>
    <w:p w:rsidR="004A2891" w:rsidRDefault="004A2891" w:rsidP="00DA103B">
      <w:pPr>
        <w:spacing w:before="120" w:after="120" w:line="360" w:lineRule="exact"/>
        <w:jc w:val="both"/>
        <w:rPr>
          <w:rFonts w:ascii="Times New Roman" w:hAnsi="Times New Roman"/>
        </w:rPr>
      </w:pPr>
      <w:r>
        <w:rPr>
          <w:rFonts w:ascii="Times New Roman" w:hAnsi="Times New Roman"/>
        </w:rPr>
        <w:t xml:space="preserve">Niestety, w ostatnim okresie Stowarzyszenie otrzymuje od Agentów turystycznych liczne sygnały świadczące o nieprawidłowym, w ocenie Agentów turystycznych i Stowarzyszenia, rozliczaniu prowizji z umów agencyjnych przez Spółkę Neckermann Polska. </w:t>
      </w:r>
    </w:p>
    <w:p w:rsidR="004A2891" w:rsidRDefault="004A2891" w:rsidP="00DA103B">
      <w:pPr>
        <w:spacing w:before="120" w:after="120" w:line="360" w:lineRule="exact"/>
        <w:jc w:val="both"/>
        <w:rPr>
          <w:rFonts w:ascii="Times New Roman" w:hAnsi="Times New Roman"/>
        </w:rPr>
      </w:pPr>
      <w:r>
        <w:rPr>
          <w:rFonts w:ascii="Times New Roman" w:hAnsi="Times New Roman"/>
        </w:rPr>
        <w:t>Należy tu wskazać następujące kwestie:</w:t>
      </w:r>
    </w:p>
    <w:p w:rsidR="004A2891" w:rsidRDefault="004A2891" w:rsidP="00DA103B">
      <w:pPr>
        <w:pStyle w:val="Akapitzlist"/>
        <w:numPr>
          <w:ilvl w:val="0"/>
          <w:numId w:val="13"/>
        </w:numPr>
        <w:spacing w:before="120" w:after="120" w:line="360" w:lineRule="exact"/>
        <w:ind w:left="567"/>
        <w:contextualSpacing w:val="0"/>
        <w:jc w:val="both"/>
        <w:rPr>
          <w:rFonts w:ascii="Times New Roman" w:hAnsi="Times New Roman"/>
        </w:rPr>
      </w:pPr>
      <w:r w:rsidRPr="00DA103B">
        <w:rPr>
          <w:rFonts w:ascii="Times New Roman" w:hAnsi="Times New Roman"/>
        </w:rPr>
        <w:lastRenderedPageBreak/>
        <w:t>Zawyżanie opłat lotniskowych i dopłat paliwowych w ramach ogólnej ceny za imprezę turystyczną</w:t>
      </w:r>
      <w:r>
        <w:rPr>
          <w:rFonts w:ascii="Times New Roman" w:hAnsi="Times New Roman"/>
        </w:rPr>
        <w:t xml:space="preserve">, co skutkuje </w:t>
      </w:r>
      <w:r w:rsidRPr="00DA103B">
        <w:rPr>
          <w:rFonts w:ascii="Times New Roman" w:hAnsi="Times New Roman"/>
        </w:rPr>
        <w:t>zmniejszeni</w:t>
      </w:r>
      <w:r>
        <w:rPr>
          <w:rFonts w:ascii="Times New Roman" w:hAnsi="Times New Roman"/>
        </w:rPr>
        <w:t>em</w:t>
      </w:r>
      <w:r w:rsidRPr="00DA103B">
        <w:rPr>
          <w:rFonts w:ascii="Times New Roman" w:hAnsi="Times New Roman"/>
        </w:rPr>
        <w:t xml:space="preserve"> podstawy naliczania prowizji należnej Agento</w:t>
      </w:r>
      <w:r>
        <w:rPr>
          <w:rFonts w:ascii="Times New Roman" w:hAnsi="Times New Roman"/>
        </w:rPr>
        <w:t>m</w:t>
      </w:r>
      <w:r w:rsidRPr="00DA103B">
        <w:rPr>
          <w:rFonts w:ascii="Times New Roman" w:hAnsi="Times New Roman"/>
        </w:rPr>
        <w:t xml:space="preserve"> (zgodnie z umowami agencyjnymi opłaty lotniskowe</w:t>
      </w:r>
      <w:r>
        <w:rPr>
          <w:rFonts w:ascii="Times New Roman" w:hAnsi="Times New Roman"/>
        </w:rPr>
        <w:t xml:space="preserve"> i dopłaty paliwowe </w:t>
      </w:r>
      <w:r w:rsidRPr="00DA103B">
        <w:rPr>
          <w:rFonts w:ascii="Times New Roman" w:hAnsi="Times New Roman"/>
        </w:rPr>
        <w:t>nie wchodzą do podstawy naliczania prowizji)</w:t>
      </w:r>
      <w:r>
        <w:rPr>
          <w:rFonts w:ascii="Times New Roman" w:hAnsi="Times New Roman"/>
        </w:rPr>
        <w:t>, a w konsekwencji zmniejszeniem wypłacanej Agentom prowizji.</w:t>
      </w:r>
    </w:p>
    <w:p w:rsidR="004A2891" w:rsidRDefault="004A2891" w:rsidP="00DA103B">
      <w:pPr>
        <w:pStyle w:val="Akapitzlist"/>
        <w:numPr>
          <w:ilvl w:val="0"/>
          <w:numId w:val="13"/>
        </w:numPr>
        <w:spacing w:before="120" w:after="120" w:line="360" w:lineRule="exact"/>
        <w:ind w:left="567"/>
        <w:contextualSpacing w:val="0"/>
        <w:jc w:val="both"/>
        <w:rPr>
          <w:rFonts w:ascii="Times New Roman" w:hAnsi="Times New Roman"/>
        </w:rPr>
      </w:pPr>
      <w:r>
        <w:rPr>
          <w:rFonts w:ascii="Times New Roman" w:hAnsi="Times New Roman"/>
        </w:rPr>
        <w:t xml:space="preserve">Dwukrotne wliczanie do podstawy naliczania prowizji opłat lotniskowych przy przewozach Klientów zorganizowanych w ten sposób, że samolot wracając z docelowego lotniska po przewiezieniu Klientów, a następnie lecąc po Klientów na lotnisko docelowe po zakończeniu imprezy turystycznej, leci bez pasażerów (pusty).   </w:t>
      </w:r>
    </w:p>
    <w:p w:rsidR="004A2891" w:rsidRPr="00DA103B" w:rsidRDefault="004A2891" w:rsidP="00DA103B">
      <w:pPr>
        <w:pStyle w:val="Akapitzlist"/>
        <w:numPr>
          <w:ilvl w:val="0"/>
          <w:numId w:val="13"/>
        </w:numPr>
        <w:spacing w:before="120" w:after="120" w:line="360" w:lineRule="exact"/>
        <w:ind w:left="567"/>
        <w:contextualSpacing w:val="0"/>
        <w:jc w:val="both"/>
        <w:rPr>
          <w:rFonts w:ascii="Times New Roman" w:hAnsi="Times New Roman"/>
        </w:rPr>
      </w:pPr>
      <w:r w:rsidRPr="00DA103B">
        <w:rPr>
          <w:rFonts w:ascii="Times New Roman" w:hAnsi="Times New Roman"/>
        </w:rPr>
        <w:t>Obniżanie podstawy naliczania prowizji o kwotę 50,00 PLN za osobę przy imprezach z dojazdem własnym, bez podstawy w umowie</w:t>
      </w:r>
      <w:r>
        <w:rPr>
          <w:rFonts w:ascii="Times New Roman" w:hAnsi="Times New Roman"/>
        </w:rPr>
        <w:t xml:space="preserve"> agencyjnej</w:t>
      </w:r>
      <w:r w:rsidRPr="00DA103B">
        <w:rPr>
          <w:rFonts w:ascii="Times New Roman" w:hAnsi="Times New Roman"/>
        </w:rPr>
        <w:t xml:space="preserve">, a nawet bez uprzedniego poinformowania </w:t>
      </w:r>
      <w:r>
        <w:rPr>
          <w:rFonts w:ascii="Times New Roman" w:hAnsi="Times New Roman"/>
        </w:rPr>
        <w:t>A</w:t>
      </w:r>
      <w:r w:rsidRPr="00DA103B">
        <w:rPr>
          <w:rFonts w:ascii="Times New Roman" w:hAnsi="Times New Roman"/>
        </w:rPr>
        <w:t>gentów o zamiarze jednostronnego obniżania podstawy naliczania prowizji dla tego typu imprez.</w:t>
      </w:r>
    </w:p>
    <w:p w:rsidR="004A2891" w:rsidRPr="00236048" w:rsidRDefault="004A2891" w:rsidP="00E75967">
      <w:pPr>
        <w:spacing w:after="120" w:line="360" w:lineRule="exact"/>
        <w:jc w:val="both"/>
        <w:rPr>
          <w:rFonts w:ascii="Times New Roman" w:hAnsi="Times New Roman"/>
          <w:b/>
        </w:rPr>
      </w:pPr>
      <w:r w:rsidRPr="00236048">
        <w:rPr>
          <w:rFonts w:ascii="Times New Roman" w:hAnsi="Times New Roman"/>
          <w:b/>
        </w:rPr>
        <w:t>Ad 1)</w:t>
      </w:r>
    </w:p>
    <w:p w:rsidR="004A2891" w:rsidRDefault="004A2891" w:rsidP="00E75967">
      <w:pPr>
        <w:spacing w:after="120" w:line="360" w:lineRule="exact"/>
        <w:jc w:val="both"/>
        <w:rPr>
          <w:rFonts w:ascii="Times New Roman" w:hAnsi="Times New Roman"/>
        </w:rPr>
      </w:pPr>
      <w:r>
        <w:rPr>
          <w:rFonts w:ascii="Times New Roman" w:hAnsi="Times New Roman"/>
        </w:rPr>
        <w:t xml:space="preserve">Opłaty lotniskowe są świadczeniami pobieranymi przez porty lotnicze, które określają również wysokość tych opłat. Z punktu widzenia relacji pomiędzy Touroperatorem, Agentem turystycznym i Klientem opłaty te mają charakter „zobiektywizowany”; żaden z tych podmiotów nie określa wysokości opłat lotniskowych. Kwoty opłat lotniskowych w poszczególnych okresach są publikowane przez poszczególne porty lotnicze, a zatem powszechnie dostępne. Spółka Neckermann Polska nie jest zatem uprawniona do zwiększania wysokości tych opłat w cenie imprezy turystycznej i określania wysokości tych opłat na innym poziomie, niż wynoszą one w rzeczywistości. </w:t>
      </w:r>
    </w:p>
    <w:p w:rsidR="004A2891" w:rsidRDefault="004A2891" w:rsidP="00D4796B">
      <w:pPr>
        <w:spacing w:after="120" w:line="360" w:lineRule="exact"/>
        <w:jc w:val="both"/>
        <w:rPr>
          <w:rFonts w:ascii="Times New Roman" w:hAnsi="Times New Roman"/>
        </w:rPr>
      </w:pPr>
      <w:r>
        <w:rPr>
          <w:rFonts w:ascii="Times New Roman" w:hAnsi="Times New Roman"/>
        </w:rPr>
        <w:t>Również wysokość tzw. dopłaty paliwowej, ustalana przez poszczególnych przewoźników, jest opłatą o ściśle określonej wysokości, na którą Touroperator nie ma wpływu i nie jest uprawniony do dowolnego określania jej wysokości jako składowej ceny imprezy turystycznej.</w:t>
      </w:r>
    </w:p>
    <w:p w:rsidR="004A2891" w:rsidRPr="00692AAB" w:rsidRDefault="004A2891" w:rsidP="00D4796B">
      <w:pPr>
        <w:spacing w:after="120" w:line="360" w:lineRule="exact"/>
        <w:jc w:val="both"/>
        <w:rPr>
          <w:rFonts w:ascii="Times New Roman" w:hAnsi="Times New Roman"/>
          <w:i/>
        </w:rPr>
      </w:pPr>
      <w:r>
        <w:rPr>
          <w:rFonts w:ascii="Times New Roman" w:hAnsi="Times New Roman"/>
        </w:rPr>
        <w:t xml:space="preserve">Umowa agencyjna stanowi wyraźnie, że prowizja nie należy się </w:t>
      </w:r>
      <w:r w:rsidRPr="00692AAB">
        <w:rPr>
          <w:rFonts w:ascii="Times New Roman" w:hAnsi="Times New Roman"/>
          <w:i/>
        </w:rPr>
        <w:t>„za opłaty takie jak np. opłata lotniskowa, ubezpieczeniowa na czas przelotu, wizowa za dokonanie zmiany, za niespodziewaną podwyżkę cen, na które organizator nie miał wpływu (np. dopłata do kosztów paliwa)”</w:t>
      </w:r>
      <w:r>
        <w:rPr>
          <w:rFonts w:ascii="Times New Roman" w:hAnsi="Times New Roman"/>
          <w:i/>
        </w:rPr>
        <w:t xml:space="preserve">. </w:t>
      </w:r>
      <w:r w:rsidRPr="00692AAB">
        <w:rPr>
          <w:rFonts w:ascii="Times New Roman" w:hAnsi="Times New Roman"/>
          <w:i/>
        </w:rPr>
        <w:t xml:space="preserve">   </w:t>
      </w:r>
    </w:p>
    <w:p w:rsidR="004A2891" w:rsidRDefault="004A2891" w:rsidP="003F1E0B">
      <w:pPr>
        <w:spacing w:after="120" w:line="360" w:lineRule="exact"/>
        <w:jc w:val="both"/>
        <w:rPr>
          <w:rFonts w:ascii="Times New Roman" w:hAnsi="Times New Roman"/>
        </w:rPr>
      </w:pPr>
      <w:r>
        <w:rPr>
          <w:rFonts w:ascii="Times New Roman" w:hAnsi="Times New Roman"/>
        </w:rPr>
        <w:t xml:space="preserve">Wyłączeniu z podstawy naliczenia prowizji podlegają zatem jedynie ściśle określone opłaty o charakterze niezależnym od Touroperatora i o ściśle określonej wysokości, której Touroperator nie może zmienić.  </w:t>
      </w:r>
    </w:p>
    <w:p w:rsidR="004A2891" w:rsidRDefault="004A2891" w:rsidP="008674D6">
      <w:pPr>
        <w:spacing w:after="240" w:line="360" w:lineRule="exact"/>
        <w:jc w:val="both"/>
        <w:rPr>
          <w:rFonts w:ascii="Times New Roman" w:hAnsi="Times New Roman"/>
        </w:rPr>
      </w:pPr>
      <w:r>
        <w:rPr>
          <w:rFonts w:ascii="Times New Roman" w:hAnsi="Times New Roman"/>
        </w:rPr>
        <w:t xml:space="preserve">Należy zwrócić uwagę, że zawyżanie przez Touroperatora opłat lotniskowych i dopłat paliwowych skutkuje nie tylko zaniżeniem należnej Agentom prowizji, ale przede wszystkim oznacza pobieranie od Klientów nienależnych świadczeń. Bezsporne być powinno, że Touroperator nie może pobierać od Klientów tytułem opłaty lotniskowej lub dopłaty paliwowej wyższych kwot, niż rzeczywiste kwoty tych opłat.    </w:t>
      </w:r>
    </w:p>
    <w:p w:rsidR="004A2891" w:rsidRDefault="004A2891" w:rsidP="00557549">
      <w:pPr>
        <w:spacing w:after="240" w:line="360" w:lineRule="exact"/>
        <w:jc w:val="both"/>
        <w:rPr>
          <w:rFonts w:ascii="Times New Roman" w:hAnsi="Times New Roman"/>
        </w:rPr>
      </w:pPr>
    </w:p>
    <w:p w:rsidR="004A2891" w:rsidRPr="00557549" w:rsidRDefault="004A2891" w:rsidP="00364CF7">
      <w:pPr>
        <w:spacing w:after="120" w:line="360" w:lineRule="exact"/>
        <w:jc w:val="both"/>
        <w:rPr>
          <w:rFonts w:ascii="Times New Roman" w:hAnsi="Times New Roman"/>
          <w:b/>
        </w:rPr>
      </w:pPr>
      <w:r w:rsidRPr="00557549">
        <w:rPr>
          <w:rFonts w:ascii="Times New Roman" w:hAnsi="Times New Roman"/>
          <w:b/>
        </w:rPr>
        <w:lastRenderedPageBreak/>
        <w:t>Ad 2)</w:t>
      </w:r>
    </w:p>
    <w:p w:rsidR="004A2891" w:rsidRDefault="004A2891" w:rsidP="003F1E0B">
      <w:pPr>
        <w:spacing w:after="120" w:line="360" w:lineRule="exact"/>
        <w:jc w:val="both"/>
        <w:rPr>
          <w:rFonts w:ascii="Times New Roman" w:hAnsi="Times New Roman"/>
          <w:b/>
        </w:rPr>
      </w:pPr>
      <w:r>
        <w:rPr>
          <w:rFonts w:ascii="Times New Roman" w:hAnsi="Times New Roman"/>
        </w:rPr>
        <w:t xml:space="preserve">Dwukrotne wliczanie opłat lotniskowych do podstawy prowizji miało miejsce w czasie tzw. weekendu majowego w 2013 r. Agenci nie zostali poinformowani o zmianie sposobu rozliczenia prowizji (dwukrotne uwzględnienie opłat lotniskowych). Również i w tym przypadku konsekwencją było zmniejszenie prowizji należnej Agentom i przerzucenie na Agentów części kosztów związanych z dwukrotnym przelotem samolotu bez pasażerów.   </w:t>
      </w:r>
    </w:p>
    <w:p w:rsidR="004A2891" w:rsidRPr="00557549" w:rsidRDefault="004A2891" w:rsidP="003F1E0B">
      <w:pPr>
        <w:spacing w:after="120" w:line="360" w:lineRule="exact"/>
        <w:jc w:val="both"/>
        <w:rPr>
          <w:rFonts w:ascii="Times New Roman" w:hAnsi="Times New Roman"/>
          <w:b/>
        </w:rPr>
      </w:pPr>
      <w:r w:rsidRPr="00557549">
        <w:rPr>
          <w:rFonts w:ascii="Times New Roman" w:hAnsi="Times New Roman"/>
          <w:b/>
        </w:rPr>
        <w:t xml:space="preserve">Ad </w:t>
      </w:r>
      <w:r>
        <w:rPr>
          <w:rFonts w:ascii="Times New Roman" w:hAnsi="Times New Roman"/>
          <w:b/>
        </w:rPr>
        <w:t>3</w:t>
      </w:r>
      <w:r w:rsidRPr="00557549">
        <w:rPr>
          <w:rFonts w:ascii="Times New Roman" w:hAnsi="Times New Roman"/>
          <w:b/>
        </w:rPr>
        <w:t>)</w:t>
      </w:r>
    </w:p>
    <w:p w:rsidR="004A2891" w:rsidRDefault="004A2891" w:rsidP="000B5AD7">
      <w:pPr>
        <w:spacing w:after="240" w:line="360" w:lineRule="exact"/>
        <w:jc w:val="both"/>
        <w:rPr>
          <w:rFonts w:ascii="Times New Roman" w:hAnsi="Times New Roman"/>
        </w:rPr>
      </w:pPr>
      <w:r>
        <w:rPr>
          <w:rFonts w:ascii="Times New Roman" w:hAnsi="Times New Roman"/>
        </w:rPr>
        <w:t xml:space="preserve">W świetle postanowień umów agencyjnych zasadą jest, że prowizja należy się od całej ceny imprezy turystycznej sprzedanej przez Agenta turystycznego. Wyjątki w tym zakresie muszą jednoznacznie wynikać z umowy agencyjnej. Touroperator nie jest uprawniony do jednostronnego, bez podstawy w umowie agencyjnej, dokonywania obniżenia kwot składających się na podstawę prowizji. Takiego bezpodstawnego, zdaniem Agentów i Stowarzyszenia, obniżenia podstawy prowizji Spółka Neckermann Polska dokonuje w odniesieniu do imprez turystycznych z dojazdem własnym. Umowy agencyjne nie upoważniają bowiem Touroperatora do pomniejszania podstawy naliczania prowizji o kwotę 50,00 PLN za osobę.     </w:t>
      </w:r>
    </w:p>
    <w:p w:rsidR="004A2891" w:rsidRDefault="004A2891" w:rsidP="00CF3B17">
      <w:pPr>
        <w:spacing w:after="120" w:line="360" w:lineRule="exact"/>
        <w:jc w:val="both"/>
        <w:rPr>
          <w:rFonts w:ascii="Times New Roman" w:hAnsi="Times New Roman"/>
        </w:rPr>
      </w:pPr>
      <w:r>
        <w:rPr>
          <w:rFonts w:ascii="Times New Roman" w:hAnsi="Times New Roman"/>
        </w:rPr>
        <w:t xml:space="preserve">W ocenie Stowarzyszenia korzystne dla kształtowania prawidłowej i bezkonfliktowej współpracy Agentów turystycznych ze Spółką Neckermann Polska byłoby zapewnienie pełnej transparentności wobec Agentów określania przez Neckermann Polska ceny imprezy turystycznej, w tym podawanie do wiadomości Agentów z odpowiednim wyprzedzeniem wysokości opłat lotniskowych i dopłat paliwowych oraz informowanie Agentów z wyprzedzeniem o zmianach wysokości tych opłat, o ile opłaty te zostaną zmienione przez podmioty uprawnione do ustalenia ich wysokości.     </w:t>
      </w:r>
    </w:p>
    <w:p w:rsidR="004A2891" w:rsidRDefault="004A2891" w:rsidP="009820FD">
      <w:pPr>
        <w:spacing w:after="120" w:line="360" w:lineRule="exact"/>
        <w:jc w:val="both"/>
        <w:rPr>
          <w:rFonts w:ascii="Times New Roman" w:hAnsi="Times New Roman"/>
        </w:rPr>
      </w:pPr>
      <w:r>
        <w:rPr>
          <w:rFonts w:ascii="Times New Roman" w:hAnsi="Times New Roman"/>
        </w:rPr>
        <w:t>W</w:t>
      </w:r>
      <w:r w:rsidRPr="00CD0820">
        <w:rPr>
          <w:rFonts w:ascii="Times New Roman" w:hAnsi="Times New Roman"/>
        </w:rPr>
        <w:t>olą Agentów</w:t>
      </w:r>
      <w:r>
        <w:rPr>
          <w:rFonts w:ascii="Times New Roman" w:hAnsi="Times New Roman"/>
        </w:rPr>
        <w:t xml:space="preserve"> </w:t>
      </w:r>
      <w:r w:rsidRPr="00CD0820">
        <w:rPr>
          <w:rFonts w:ascii="Times New Roman" w:hAnsi="Times New Roman"/>
        </w:rPr>
        <w:t xml:space="preserve">zrzeszonych w Stowarzyszeniu jest kształtowanie współpracy z </w:t>
      </w:r>
      <w:r>
        <w:rPr>
          <w:rFonts w:ascii="Times New Roman" w:hAnsi="Times New Roman"/>
        </w:rPr>
        <w:t xml:space="preserve">Neckermann Polska Biuro Podróży </w:t>
      </w:r>
      <w:r w:rsidRPr="00CD0820">
        <w:rPr>
          <w:rFonts w:ascii="Times New Roman" w:hAnsi="Times New Roman"/>
        </w:rPr>
        <w:t>Sp. z o.o.</w:t>
      </w:r>
      <w:r>
        <w:rPr>
          <w:rFonts w:ascii="Times New Roman" w:hAnsi="Times New Roman"/>
        </w:rPr>
        <w:t xml:space="preserve"> w Warszawie</w:t>
      </w:r>
      <w:r w:rsidRPr="00CD0820">
        <w:rPr>
          <w:rFonts w:ascii="Times New Roman" w:hAnsi="Times New Roman"/>
        </w:rPr>
        <w:t xml:space="preserve"> na zasadach partnerskich, z poszanowaniem wzajemnych praw i obowiązków wynikających z zawartych umów agencyjnych oraz z korzyścią dla obu Stron. </w:t>
      </w:r>
      <w:r>
        <w:rPr>
          <w:rFonts w:ascii="Times New Roman" w:hAnsi="Times New Roman"/>
        </w:rPr>
        <w:t>Takiego samego stosunku do wzajemnych relacji Stron Agenci oczekują od Neckermann Polska. Transparentność i zgodność z zawartymi umowami agencyjnym naliczania należnej Agentom prowizji ma dla tych relacji fundamentalne znaczenie.</w:t>
      </w:r>
    </w:p>
    <w:p w:rsidR="004A2891" w:rsidRDefault="004A2891" w:rsidP="00776290">
      <w:pPr>
        <w:spacing w:after="120" w:line="360" w:lineRule="exact"/>
        <w:jc w:val="both"/>
        <w:rPr>
          <w:rFonts w:ascii="Times New Roman" w:hAnsi="Times New Roman"/>
        </w:rPr>
      </w:pPr>
      <w:r>
        <w:rPr>
          <w:rFonts w:ascii="Times New Roman" w:hAnsi="Times New Roman"/>
        </w:rPr>
        <w:t xml:space="preserve">Uprzejmie proszę o ustosunkowanie się do spraw podniesionych w niniejszym piśmie, w celu umożliwienia Stowarzyszeniu przekazania stanowiska Spółki Neckermann Polska w tych sprawach Agentom turystycznym zaniepokojonym istniejącą sytuacją. Nadmieniam, że w zależności od treści odpowiedzi oraz działań podjętych przez Neckermann Polska w sprawach opisanych w niniejszym piśmie, Stowarzyszenie dokona oceny, czy możliwe jest dalsze rekomendowanie Spółki Neckermann Polska jako touroperatora współpracującego z Agentami na partnerskich zasadach. </w:t>
      </w:r>
    </w:p>
    <w:p w:rsidR="004A2891" w:rsidRDefault="004A2891" w:rsidP="00426776">
      <w:pPr>
        <w:spacing w:after="0" w:line="360" w:lineRule="exact"/>
        <w:jc w:val="both"/>
        <w:rPr>
          <w:rFonts w:ascii="Times New Roman" w:hAnsi="Times New Roman"/>
        </w:rPr>
      </w:pPr>
      <w:r>
        <w:rPr>
          <w:rFonts w:ascii="Times New Roman" w:hAnsi="Times New Roman"/>
        </w:rPr>
        <w:t xml:space="preserve">Uprzejmie informuję nadto, że Stowarzyszenie wraz ze środowiskiem Agentów turystycznych prowadzi prace nad dokumentem o roboczym tytule „Karta Lojalnego Touroperatora”, którego celem jest określenie dobrych praktyk w relacjach pomiędzy Agentami a Touroperatorami. Stowarzyszenie </w:t>
      </w:r>
      <w:r>
        <w:rPr>
          <w:rFonts w:ascii="Times New Roman" w:hAnsi="Times New Roman"/>
        </w:rPr>
        <w:lastRenderedPageBreak/>
        <w:t>ma nadzieję, że Neckermann Polska Biuro Podróży Sp. z o.o., jako wieloletni partner Agentów turystycznych, będzie jednym z liderów procesu wprowadzania najwyższych standardów w tych relacjach. Zamierzeniem Agentów jest priorytetowe traktowanie, również w procesie sprzedaży produktów turystycznych, tych Touroperatorów, którzy zaakceptują zapisy „Karty Lojalnego Touroperatora”, a w konsekwencji zdecydują się na w pełni partnerską współpracę z Agentami, która będzie się opierała na przejrzystych zasadach, poszanowaniu wzajemnych praw i słusznych interesów oraz przestrzeganiu obowiązków określonych w umowach agencyjnych oraz wynikających z obowiązujących przepisów prawa. Stowarzyszenie ma nadzieję, że jednym</w:t>
      </w:r>
      <w:bookmarkStart w:id="0" w:name="_GoBack"/>
      <w:bookmarkEnd w:id="0"/>
      <w:r>
        <w:rPr>
          <w:rFonts w:ascii="Times New Roman" w:hAnsi="Times New Roman"/>
        </w:rPr>
        <w:t xml:space="preserve"> z takich Touroperatorów będzie Neckermann Polska. W tym celu niezbędne jest jednak pilne i pozytywne dla Agentów turystycznych rozwiązanie problemów opisanych w niniejszym piśmie.     </w:t>
      </w:r>
    </w:p>
    <w:p w:rsidR="004A2891" w:rsidRDefault="004A2891" w:rsidP="00426776">
      <w:pPr>
        <w:spacing w:after="0" w:line="360" w:lineRule="exac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2891" w:rsidRDefault="004A2891" w:rsidP="00E44EB7">
      <w:pPr>
        <w:spacing w:after="0" w:line="360" w:lineRule="exact"/>
        <w:ind w:left="4956" w:firstLine="708"/>
        <w:jc w:val="both"/>
        <w:rPr>
          <w:rFonts w:ascii="Times New Roman" w:hAnsi="Times New Roman"/>
        </w:rPr>
      </w:pPr>
      <w:r>
        <w:rPr>
          <w:rFonts w:ascii="Times New Roman" w:hAnsi="Times New Roman"/>
        </w:rPr>
        <w:t xml:space="preserve">Z poważaniem </w:t>
      </w:r>
    </w:p>
    <w:p w:rsidR="004A2891" w:rsidRDefault="004A2891" w:rsidP="00426776">
      <w:pPr>
        <w:spacing w:after="0" w:line="360" w:lineRule="exact"/>
        <w:jc w:val="both"/>
        <w:rPr>
          <w:rFonts w:ascii="Times New Roman" w:hAnsi="Times New Roman"/>
        </w:rPr>
      </w:pPr>
    </w:p>
    <w:p w:rsidR="004A2891" w:rsidRPr="00426776" w:rsidRDefault="004A2891" w:rsidP="00426776">
      <w:pPr>
        <w:spacing w:after="0" w:line="360" w:lineRule="exact"/>
        <w:jc w:val="both"/>
        <w:rPr>
          <w:rFonts w:ascii="Times New Roman" w:hAnsi="Times New Roman"/>
        </w:rPr>
      </w:pPr>
    </w:p>
    <w:p w:rsidR="004A2891" w:rsidRDefault="004A2891" w:rsidP="00022146">
      <w:pPr>
        <w:spacing w:after="0" w:line="360" w:lineRule="exact"/>
        <w:jc w:val="both"/>
        <w:rPr>
          <w:rFonts w:ascii="Times New Roman" w:hAnsi="Times New Roman"/>
        </w:rPr>
      </w:pPr>
    </w:p>
    <w:p w:rsidR="004A2891" w:rsidRPr="00022146" w:rsidRDefault="004A2891" w:rsidP="00022146">
      <w:pPr>
        <w:spacing w:after="0" w:line="360" w:lineRule="exact"/>
        <w:jc w:val="both"/>
        <w:rPr>
          <w:rFonts w:ascii="Times New Roman" w:hAnsi="Times New Roman"/>
        </w:rPr>
      </w:pPr>
    </w:p>
    <w:p w:rsidR="004A2891" w:rsidRDefault="004A2891" w:rsidP="00F23705">
      <w:pPr>
        <w:spacing w:after="0" w:line="360" w:lineRule="exact"/>
        <w:jc w:val="both"/>
        <w:rPr>
          <w:rFonts w:ascii="Times New Roman" w:hAnsi="Times New Roman"/>
        </w:rPr>
      </w:pPr>
      <w:r>
        <w:rPr>
          <w:rFonts w:ascii="Times New Roman" w:hAnsi="Times New Roman"/>
        </w:rPr>
        <w:t xml:space="preserve">       </w:t>
      </w:r>
    </w:p>
    <w:p w:rsidR="004A2891" w:rsidRDefault="004A2891" w:rsidP="00F23705">
      <w:pPr>
        <w:spacing w:after="0" w:line="360" w:lineRule="exact"/>
        <w:jc w:val="both"/>
        <w:rPr>
          <w:rFonts w:ascii="Times New Roman" w:hAnsi="Times New Roman"/>
        </w:rPr>
      </w:pPr>
    </w:p>
    <w:p w:rsidR="004A2891" w:rsidRDefault="004A2891" w:rsidP="00F23705">
      <w:pPr>
        <w:spacing w:after="0" w:line="360" w:lineRule="exact"/>
        <w:jc w:val="both"/>
        <w:rPr>
          <w:rFonts w:ascii="Times New Roman" w:hAnsi="Times New Roman"/>
        </w:rPr>
      </w:pPr>
    </w:p>
    <w:p w:rsidR="004A2891" w:rsidRDefault="004A2891" w:rsidP="00F23705">
      <w:pPr>
        <w:spacing w:after="0" w:line="360" w:lineRule="exact"/>
        <w:jc w:val="both"/>
        <w:rPr>
          <w:rFonts w:ascii="Times New Roman" w:hAnsi="Times New Roman"/>
        </w:rPr>
      </w:pPr>
    </w:p>
    <w:p w:rsidR="004A2891" w:rsidRDefault="004A2891" w:rsidP="00F23705">
      <w:pPr>
        <w:spacing w:after="0" w:line="360" w:lineRule="exact"/>
        <w:jc w:val="both"/>
        <w:rPr>
          <w:rFonts w:ascii="Times New Roman" w:hAnsi="Times New Roman"/>
        </w:rPr>
      </w:pPr>
    </w:p>
    <w:p w:rsidR="004A2891" w:rsidRDefault="004A2891" w:rsidP="00F23705">
      <w:pPr>
        <w:spacing w:after="0" w:line="360" w:lineRule="exact"/>
        <w:jc w:val="both"/>
        <w:rPr>
          <w:rFonts w:ascii="Times New Roman" w:hAnsi="Times New Roman"/>
        </w:rPr>
      </w:pPr>
    </w:p>
    <w:p w:rsidR="004A2891" w:rsidRDefault="004A2891" w:rsidP="00F23705">
      <w:pPr>
        <w:spacing w:after="0" w:line="360" w:lineRule="exact"/>
        <w:jc w:val="both"/>
        <w:rPr>
          <w:rFonts w:ascii="Times New Roman" w:hAnsi="Times New Roman"/>
        </w:rPr>
      </w:pPr>
    </w:p>
    <w:p w:rsidR="004A2891" w:rsidRPr="00CD0820" w:rsidRDefault="004A2891" w:rsidP="005C319C">
      <w:pPr>
        <w:spacing w:after="120" w:line="360" w:lineRule="auto"/>
        <w:jc w:val="both"/>
        <w:rPr>
          <w:rFonts w:ascii="Times New Roman" w:hAnsi="Times New Roman"/>
        </w:rPr>
      </w:pPr>
    </w:p>
    <w:sectPr w:rsidR="004A2891" w:rsidRPr="00CD0820" w:rsidSect="006037F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147" w:rsidRDefault="00294147" w:rsidP="007D7AE4">
      <w:pPr>
        <w:spacing w:after="0" w:line="240" w:lineRule="auto"/>
      </w:pPr>
      <w:r>
        <w:separator/>
      </w:r>
    </w:p>
  </w:endnote>
  <w:endnote w:type="continuationSeparator" w:id="1">
    <w:p w:rsidR="00294147" w:rsidRDefault="00294147" w:rsidP="007D7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91" w:rsidRDefault="00B26B76">
    <w:pPr>
      <w:pStyle w:val="Stopka"/>
      <w:jc w:val="right"/>
    </w:pPr>
    <w:fldSimple w:instr="PAGE   \* MERGEFORMAT">
      <w:r w:rsidR="00832D2A">
        <w:rPr>
          <w:noProof/>
        </w:rPr>
        <w:t>1</w:t>
      </w:r>
    </w:fldSimple>
  </w:p>
  <w:p w:rsidR="004A2891" w:rsidRDefault="004A28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147" w:rsidRDefault="00294147" w:rsidP="007D7AE4">
      <w:pPr>
        <w:spacing w:after="0" w:line="240" w:lineRule="auto"/>
      </w:pPr>
      <w:r>
        <w:separator/>
      </w:r>
    </w:p>
  </w:footnote>
  <w:footnote w:type="continuationSeparator" w:id="1">
    <w:p w:rsidR="00294147" w:rsidRDefault="00294147" w:rsidP="007D7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F16"/>
    <w:multiLevelType w:val="hybridMultilevel"/>
    <w:tmpl w:val="A432B8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772781"/>
    <w:multiLevelType w:val="hybridMultilevel"/>
    <w:tmpl w:val="67385D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9CC10E6"/>
    <w:multiLevelType w:val="hybridMultilevel"/>
    <w:tmpl w:val="F898A50E"/>
    <w:lvl w:ilvl="0" w:tplc="994C97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67250AF"/>
    <w:multiLevelType w:val="hybridMultilevel"/>
    <w:tmpl w:val="8FB20B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6537647"/>
    <w:multiLevelType w:val="hybridMultilevel"/>
    <w:tmpl w:val="DD6294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ECD7049"/>
    <w:multiLevelType w:val="hybridMultilevel"/>
    <w:tmpl w:val="2C7C1C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1BC0F1D"/>
    <w:multiLevelType w:val="hybridMultilevel"/>
    <w:tmpl w:val="D6E825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4F34E3D"/>
    <w:multiLevelType w:val="hybridMultilevel"/>
    <w:tmpl w:val="54DE3D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AE1320D"/>
    <w:multiLevelType w:val="hybridMultilevel"/>
    <w:tmpl w:val="A77239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E373004"/>
    <w:multiLevelType w:val="hybridMultilevel"/>
    <w:tmpl w:val="73AABD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1054631"/>
    <w:multiLevelType w:val="hybridMultilevel"/>
    <w:tmpl w:val="29BEDC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6F70640E"/>
    <w:multiLevelType w:val="hybridMultilevel"/>
    <w:tmpl w:val="6A18A2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CCC685D"/>
    <w:multiLevelType w:val="hybridMultilevel"/>
    <w:tmpl w:val="7B96AF92"/>
    <w:lvl w:ilvl="0" w:tplc="2CCE5FE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4"/>
  </w:num>
  <w:num w:numId="2">
    <w:abstractNumId w:val="12"/>
  </w:num>
  <w:num w:numId="3">
    <w:abstractNumId w:val="5"/>
  </w:num>
  <w:num w:numId="4">
    <w:abstractNumId w:val="6"/>
  </w:num>
  <w:num w:numId="5">
    <w:abstractNumId w:val="1"/>
  </w:num>
  <w:num w:numId="6">
    <w:abstractNumId w:val="8"/>
  </w:num>
  <w:num w:numId="7">
    <w:abstractNumId w:val="9"/>
  </w:num>
  <w:num w:numId="8">
    <w:abstractNumId w:val="11"/>
  </w:num>
  <w:num w:numId="9">
    <w:abstractNumId w:val="0"/>
  </w:num>
  <w:num w:numId="10">
    <w:abstractNumId w:val="7"/>
  </w:num>
  <w:num w:numId="11">
    <w:abstractNumId w:val="1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31221"/>
    <w:rsid w:val="00000D73"/>
    <w:rsid w:val="00005400"/>
    <w:rsid w:val="00005F84"/>
    <w:rsid w:val="00013416"/>
    <w:rsid w:val="00020205"/>
    <w:rsid w:val="00022146"/>
    <w:rsid w:val="00036EF0"/>
    <w:rsid w:val="0004520F"/>
    <w:rsid w:val="00046CA9"/>
    <w:rsid w:val="00050C32"/>
    <w:rsid w:val="00053D5A"/>
    <w:rsid w:val="000640B8"/>
    <w:rsid w:val="0006423B"/>
    <w:rsid w:val="00065311"/>
    <w:rsid w:val="00080DA5"/>
    <w:rsid w:val="00093AB3"/>
    <w:rsid w:val="000A1221"/>
    <w:rsid w:val="000A66F3"/>
    <w:rsid w:val="000B02B1"/>
    <w:rsid w:val="000B42BA"/>
    <w:rsid w:val="000B4453"/>
    <w:rsid w:val="000B5AD7"/>
    <w:rsid w:val="000C6BEA"/>
    <w:rsid w:val="000E1A57"/>
    <w:rsid w:val="000F1E62"/>
    <w:rsid w:val="000F5EEF"/>
    <w:rsid w:val="001014C0"/>
    <w:rsid w:val="00105EC3"/>
    <w:rsid w:val="0011441D"/>
    <w:rsid w:val="00123054"/>
    <w:rsid w:val="00124412"/>
    <w:rsid w:val="00124FD6"/>
    <w:rsid w:val="00132563"/>
    <w:rsid w:val="00135D9C"/>
    <w:rsid w:val="00145ED7"/>
    <w:rsid w:val="00153F84"/>
    <w:rsid w:val="00157518"/>
    <w:rsid w:val="001707A1"/>
    <w:rsid w:val="00180A0E"/>
    <w:rsid w:val="00183BBB"/>
    <w:rsid w:val="001846DC"/>
    <w:rsid w:val="00192E22"/>
    <w:rsid w:val="001A3794"/>
    <w:rsid w:val="001A465C"/>
    <w:rsid w:val="001A7E84"/>
    <w:rsid w:val="001B30D1"/>
    <w:rsid w:val="001B71FB"/>
    <w:rsid w:val="001C164C"/>
    <w:rsid w:val="001D29AB"/>
    <w:rsid w:val="001D4F67"/>
    <w:rsid w:val="001D7C48"/>
    <w:rsid w:val="001D7E36"/>
    <w:rsid w:val="001E69D2"/>
    <w:rsid w:val="001E75BF"/>
    <w:rsid w:val="001F0879"/>
    <w:rsid w:val="00206CF0"/>
    <w:rsid w:val="0022521C"/>
    <w:rsid w:val="00227C6A"/>
    <w:rsid w:val="00236048"/>
    <w:rsid w:val="002363C9"/>
    <w:rsid w:val="00240CCE"/>
    <w:rsid w:val="00251AB7"/>
    <w:rsid w:val="0025273C"/>
    <w:rsid w:val="00256D7B"/>
    <w:rsid w:val="00257D6E"/>
    <w:rsid w:val="00275285"/>
    <w:rsid w:val="00294147"/>
    <w:rsid w:val="00296A08"/>
    <w:rsid w:val="002A18CD"/>
    <w:rsid w:val="002A7B4F"/>
    <w:rsid w:val="002A7D85"/>
    <w:rsid w:val="002B48BE"/>
    <w:rsid w:val="002B6C28"/>
    <w:rsid w:val="002C0E3E"/>
    <w:rsid w:val="002C7BF7"/>
    <w:rsid w:val="002D1AEE"/>
    <w:rsid w:val="002D74A9"/>
    <w:rsid w:val="002E1410"/>
    <w:rsid w:val="002E26A6"/>
    <w:rsid w:val="002F7F55"/>
    <w:rsid w:val="0030138F"/>
    <w:rsid w:val="003045D6"/>
    <w:rsid w:val="0031222E"/>
    <w:rsid w:val="00315CD5"/>
    <w:rsid w:val="0031699A"/>
    <w:rsid w:val="00321ED3"/>
    <w:rsid w:val="00334FD1"/>
    <w:rsid w:val="00350402"/>
    <w:rsid w:val="00350780"/>
    <w:rsid w:val="0035202E"/>
    <w:rsid w:val="003571F8"/>
    <w:rsid w:val="00360D2E"/>
    <w:rsid w:val="003610B3"/>
    <w:rsid w:val="00364A0A"/>
    <w:rsid w:val="00364CF7"/>
    <w:rsid w:val="003702D1"/>
    <w:rsid w:val="0037142C"/>
    <w:rsid w:val="00373BD8"/>
    <w:rsid w:val="003834BD"/>
    <w:rsid w:val="0038682A"/>
    <w:rsid w:val="00391FE5"/>
    <w:rsid w:val="003A0326"/>
    <w:rsid w:val="003C376C"/>
    <w:rsid w:val="003C7D93"/>
    <w:rsid w:val="003D293F"/>
    <w:rsid w:val="003D6B86"/>
    <w:rsid w:val="003F0849"/>
    <w:rsid w:val="003F1E0B"/>
    <w:rsid w:val="00400880"/>
    <w:rsid w:val="0040315B"/>
    <w:rsid w:val="00407788"/>
    <w:rsid w:val="004110A4"/>
    <w:rsid w:val="00413798"/>
    <w:rsid w:val="00421E84"/>
    <w:rsid w:val="00426212"/>
    <w:rsid w:val="00426776"/>
    <w:rsid w:val="00431133"/>
    <w:rsid w:val="00431221"/>
    <w:rsid w:val="00450A0B"/>
    <w:rsid w:val="004511E0"/>
    <w:rsid w:val="00457564"/>
    <w:rsid w:val="004715FB"/>
    <w:rsid w:val="00494F9D"/>
    <w:rsid w:val="004A2891"/>
    <w:rsid w:val="004B0F6B"/>
    <w:rsid w:val="004C1AD5"/>
    <w:rsid w:val="004C247C"/>
    <w:rsid w:val="004D3613"/>
    <w:rsid w:val="004D6B34"/>
    <w:rsid w:val="004D765C"/>
    <w:rsid w:val="004E39FF"/>
    <w:rsid w:val="004E5726"/>
    <w:rsid w:val="004F676D"/>
    <w:rsid w:val="00501C43"/>
    <w:rsid w:val="00503301"/>
    <w:rsid w:val="0053767D"/>
    <w:rsid w:val="00537E3F"/>
    <w:rsid w:val="005452D7"/>
    <w:rsid w:val="005465E9"/>
    <w:rsid w:val="00546C33"/>
    <w:rsid w:val="005471AA"/>
    <w:rsid w:val="005532F5"/>
    <w:rsid w:val="00555533"/>
    <w:rsid w:val="00557549"/>
    <w:rsid w:val="00562BE9"/>
    <w:rsid w:val="0056307B"/>
    <w:rsid w:val="005656CC"/>
    <w:rsid w:val="00575244"/>
    <w:rsid w:val="00582AA8"/>
    <w:rsid w:val="00597EE1"/>
    <w:rsid w:val="005A0964"/>
    <w:rsid w:val="005A0DC1"/>
    <w:rsid w:val="005A5855"/>
    <w:rsid w:val="005B06A2"/>
    <w:rsid w:val="005B16DE"/>
    <w:rsid w:val="005B356C"/>
    <w:rsid w:val="005B39BD"/>
    <w:rsid w:val="005B4314"/>
    <w:rsid w:val="005B6A18"/>
    <w:rsid w:val="005C0667"/>
    <w:rsid w:val="005C319C"/>
    <w:rsid w:val="005C70CB"/>
    <w:rsid w:val="005C7D52"/>
    <w:rsid w:val="005D012A"/>
    <w:rsid w:val="005D3C89"/>
    <w:rsid w:val="005D5CD0"/>
    <w:rsid w:val="005E7BD2"/>
    <w:rsid w:val="00600C73"/>
    <w:rsid w:val="006037F0"/>
    <w:rsid w:val="006039EE"/>
    <w:rsid w:val="00613607"/>
    <w:rsid w:val="006152C4"/>
    <w:rsid w:val="00626CD3"/>
    <w:rsid w:val="00627DAC"/>
    <w:rsid w:val="00630731"/>
    <w:rsid w:val="006407D7"/>
    <w:rsid w:val="00640FF3"/>
    <w:rsid w:val="00645925"/>
    <w:rsid w:val="00645FF3"/>
    <w:rsid w:val="0065569A"/>
    <w:rsid w:val="00655F23"/>
    <w:rsid w:val="00657FC3"/>
    <w:rsid w:val="00660CDF"/>
    <w:rsid w:val="00665340"/>
    <w:rsid w:val="00684347"/>
    <w:rsid w:val="00686309"/>
    <w:rsid w:val="00692AAB"/>
    <w:rsid w:val="00692C48"/>
    <w:rsid w:val="006965E8"/>
    <w:rsid w:val="006B33E6"/>
    <w:rsid w:val="006B3A3B"/>
    <w:rsid w:val="006B50A7"/>
    <w:rsid w:val="006B7FA4"/>
    <w:rsid w:val="006C68B6"/>
    <w:rsid w:val="006D0E3E"/>
    <w:rsid w:val="006E71E6"/>
    <w:rsid w:val="006F4D6C"/>
    <w:rsid w:val="006F6A42"/>
    <w:rsid w:val="0070401C"/>
    <w:rsid w:val="00704800"/>
    <w:rsid w:val="007050E3"/>
    <w:rsid w:val="00713C8A"/>
    <w:rsid w:val="00714694"/>
    <w:rsid w:val="00725DE7"/>
    <w:rsid w:val="007375EC"/>
    <w:rsid w:val="0073790F"/>
    <w:rsid w:val="00742C70"/>
    <w:rsid w:val="00746C45"/>
    <w:rsid w:val="007575E7"/>
    <w:rsid w:val="0077217A"/>
    <w:rsid w:val="00774BE5"/>
    <w:rsid w:val="00776290"/>
    <w:rsid w:val="00782EE9"/>
    <w:rsid w:val="00791550"/>
    <w:rsid w:val="00795E84"/>
    <w:rsid w:val="00797E44"/>
    <w:rsid w:val="007A1275"/>
    <w:rsid w:val="007A456E"/>
    <w:rsid w:val="007B3555"/>
    <w:rsid w:val="007B4594"/>
    <w:rsid w:val="007C5B4C"/>
    <w:rsid w:val="007D7204"/>
    <w:rsid w:val="007D7AE4"/>
    <w:rsid w:val="007E2272"/>
    <w:rsid w:val="007F57AB"/>
    <w:rsid w:val="008062CB"/>
    <w:rsid w:val="00811DF0"/>
    <w:rsid w:val="00817077"/>
    <w:rsid w:val="00832D2A"/>
    <w:rsid w:val="00833731"/>
    <w:rsid w:val="008343F4"/>
    <w:rsid w:val="00836D79"/>
    <w:rsid w:val="00843111"/>
    <w:rsid w:val="00852879"/>
    <w:rsid w:val="008536E6"/>
    <w:rsid w:val="00855D36"/>
    <w:rsid w:val="008610BC"/>
    <w:rsid w:val="008674D6"/>
    <w:rsid w:val="00877242"/>
    <w:rsid w:val="00884CAB"/>
    <w:rsid w:val="00891586"/>
    <w:rsid w:val="00892846"/>
    <w:rsid w:val="00895A34"/>
    <w:rsid w:val="008B39F7"/>
    <w:rsid w:val="008C3A39"/>
    <w:rsid w:val="008D289C"/>
    <w:rsid w:val="008E2DBB"/>
    <w:rsid w:val="008E6F1C"/>
    <w:rsid w:val="008F2EDE"/>
    <w:rsid w:val="00921391"/>
    <w:rsid w:val="00934C13"/>
    <w:rsid w:val="00936169"/>
    <w:rsid w:val="0094002E"/>
    <w:rsid w:val="00945F36"/>
    <w:rsid w:val="009506D9"/>
    <w:rsid w:val="00951038"/>
    <w:rsid w:val="00960CA7"/>
    <w:rsid w:val="009736FE"/>
    <w:rsid w:val="009745CE"/>
    <w:rsid w:val="009820FD"/>
    <w:rsid w:val="00982F79"/>
    <w:rsid w:val="009848D5"/>
    <w:rsid w:val="00993B56"/>
    <w:rsid w:val="0099533E"/>
    <w:rsid w:val="009A14C9"/>
    <w:rsid w:val="009A1656"/>
    <w:rsid w:val="009B586B"/>
    <w:rsid w:val="009C6837"/>
    <w:rsid w:val="009F258E"/>
    <w:rsid w:val="00A01FA8"/>
    <w:rsid w:val="00A07038"/>
    <w:rsid w:val="00A12CE9"/>
    <w:rsid w:val="00A31F4A"/>
    <w:rsid w:val="00A51D01"/>
    <w:rsid w:val="00A60787"/>
    <w:rsid w:val="00A64C6B"/>
    <w:rsid w:val="00A67C4E"/>
    <w:rsid w:val="00A774F1"/>
    <w:rsid w:val="00A77AB2"/>
    <w:rsid w:val="00A91A8E"/>
    <w:rsid w:val="00A97C47"/>
    <w:rsid w:val="00AA17FE"/>
    <w:rsid w:val="00AB7CD4"/>
    <w:rsid w:val="00AC20C2"/>
    <w:rsid w:val="00AC3765"/>
    <w:rsid w:val="00AD7C7C"/>
    <w:rsid w:val="00AF277A"/>
    <w:rsid w:val="00AF3468"/>
    <w:rsid w:val="00AF5A35"/>
    <w:rsid w:val="00AF6D7D"/>
    <w:rsid w:val="00AF7377"/>
    <w:rsid w:val="00B05928"/>
    <w:rsid w:val="00B05942"/>
    <w:rsid w:val="00B12427"/>
    <w:rsid w:val="00B2051C"/>
    <w:rsid w:val="00B26B76"/>
    <w:rsid w:val="00B3046E"/>
    <w:rsid w:val="00B30E64"/>
    <w:rsid w:val="00B37B7E"/>
    <w:rsid w:val="00B41554"/>
    <w:rsid w:val="00B435FD"/>
    <w:rsid w:val="00B43879"/>
    <w:rsid w:val="00B4578F"/>
    <w:rsid w:val="00B627D1"/>
    <w:rsid w:val="00B666BD"/>
    <w:rsid w:val="00B6725E"/>
    <w:rsid w:val="00B73228"/>
    <w:rsid w:val="00B74B36"/>
    <w:rsid w:val="00B76C35"/>
    <w:rsid w:val="00B835BE"/>
    <w:rsid w:val="00B901BB"/>
    <w:rsid w:val="00B914DA"/>
    <w:rsid w:val="00B92FB1"/>
    <w:rsid w:val="00B969EB"/>
    <w:rsid w:val="00BA2DDE"/>
    <w:rsid w:val="00BB0C95"/>
    <w:rsid w:val="00BC001F"/>
    <w:rsid w:val="00BC3728"/>
    <w:rsid w:val="00BC48C8"/>
    <w:rsid w:val="00BD0403"/>
    <w:rsid w:val="00BE1D63"/>
    <w:rsid w:val="00BE3769"/>
    <w:rsid w:val="00BE4C98"/>
    <w:rsid w:val="00BF23BD"/>
    <w:rsid w:val="00BF5486"/>
    <w:rsid w:val="00BF60A9"/>
    <w:rsid w:val="00BF7854"/>
    <w:rsid w:val="00C02A09"/>
    <w:rsid w:val="00C05179"/>
    <w:rsid w:val="00C05231"/>
    <w:rsid w:val="00C12776"/>
    <w:rsid w:val="00C13445"/>
    <w:rsid w:val="00C162A4"/>
    <w:rsid w:val="00C2164B"/>
    <w:rsid w:val="00C25AFD"/>
    <w:rsid w:val="00C25BAE"/>
    <w:rsid w:val="00C35500"/>
    <w:rsid w:val="00C36F1F"/>
    <w:rsid w:val="00C45025"/>
    <w:rsid w:val="00C676AE"/>
    <w:rsid w:val="00C72697"/>
    <w:rsid w:val="00C7323F"/>
    <w:rsid w:val="00C7407A"/>
    <w:rsid w:val="00C75EFC"/>
    <w:rsid w:val="00C9174C"/>
    <w:rsid w:val="00C92BBE"/>
    <w:rsid w:val="00CA13E4"/>
    <w:rsid w:val="00CA14E7"/>
    <w:rsid w:val="00CA2C89"/>
    <w:rsid w:val="00CB147E"/>
    <w:rsid w:val="00CB36E1"/>
    <w:rsid w:val="00CB3918"/>
    <w:rsid w:val="00CB7F20"/>
    <w:rsid w:val="00CC035D"/>
    <w:rsid w:val="00CC1DF9"/>
    <w:rsid w:val="00CD0820"/>
    <w:rsid w:val="00CD6B3F"/>
    <w:rsid w:val="00CE2A4F"/>
    <w:rsid w:val="00CE5CCF"/>
    <w:rsid w:val="00CE67D1"/>
    <w:rsid w:val="00CF3B17"/>
    <w:rsid w:val="00CF41D9"/>
    <w:rsid w:val="00CF5CF8"/>
    <w:rsid w:val="00CF7FA1"/>
    <w:rsid w:val="00D00D34"/>
    <w:rsid w:val="00D03E69"/>
    <w:rsid w:val="00D06ED4"/>
    <w:rsid w:val="00D10EDB"/>
    <w:rsid w:val="00D114C7"/>
    <w:rsid w:val="00D171D6"/>
    <w:rsid w:val="00D2229D"/>
    <w:rsid w:val="00D27C6F"/>
    <w:rsid w:val="00D27E57"/>
    <w:rsid w:val="00D375C9"/>
    <w:rsid w:val="00D4796B"/>
    <w:rsid w:val="00D54EE2"/>
    <w:rsid w:val="00D63307"/>
    <w:rsid w:val="00D66FDB"/>
    <w:rsid w:val="00D81702"/>
    <w:rsid w:val="00D83C39"/>
    <w:rsid w:val="00D84473"/>
    <w:rsid w:val="00D87F62"/>
    <w:rsid w:val="00D905A0"/>
    <w:rsid w:val="00DA103B"/>
    <w:rsid w:val="00DA1C1E"/>
    <w:rsid w:val="00DB6E61"/>
    <w:rsid w:val="00DB7E6B"/>
    <w:rsid w:val="00DC2F98"/>
    <w:rsid w:val="00DE2ABB"/>
    <w:rsid w:val="00DF1AA5"/>
    <w:rsid w:val="00DF6BFD"/>
    <w:rsid w:val="00E009BE"/>
    <w:rsid w:val="00E01531"/>
    <w:rsid w:val="00E01C55"/>
    <w:rsid w:val="00E04C3E"/>
    <w:rsid w:val="00E114CE"/>
    <w:rsid w:val="00E14726"/>
    <w:rsid w:val="00E37A82"/>
    <w:rsid w:val="00E409A3"/>
    <w:rsid w:val="00E44EB7"/>
    <w:rsid w:val="00E554DB"/>
    <w:rsid w:val="00E5694C"/>
    <w:rsid w:val="00E71480"/>
    <w:rsid w:val="00E71B4E"/>
    <w:rsid w:val="00E75967"/>
    <w:rsid w:val="00E7769E"/>
    <w:rsid w:val="00E81E51"/>
    <w:rsid w:val="00E85EB8"/>
    <w:rsid w:val="00EB2099"/>
    <w:rsid w:val="00EB670E"/>
    <w:rsid w:val="00EC0456"/>
    <w:rsid w:val="00EC04A0"/>
    <w:rsid w:val="00ED0324"/>
    <w:rsid w:val="00ED53C7"/>
    <w:rsid w:val="00EE21FC"/>
    <w:rsid w:val="00EF4845"/>
    <w:rsid w:val="00F03DFF"/>
    <w:rsid w:val="00F047E8"/>
    <w:rsid w:val="00F06E26"/>
    <w:rsid w:val="00F075FE"/>
    <w:rsid w:val="00F23705"/>
    <w:rsid w:val="00F241AA"/>
    <w:rsid w:val="00F25BC4"/>
    <w:rsid w:val="00F32CAE"/>
    <w:rsid w:val="00F362F9"/>
    <w:rsid w:val="00F649AB"/>
    <w:rsid w:val="00F6711B"/>
    <w:rsid w:val="00F70BA0"/>
    <w:rsid w:val="00F738CD"/>
    <w:rsid w:val="00F76035"/>
    <w:rsid w:val="00F8179C"/>
    <w:rsid w:val="00F81A5F"/>
    <w:rsid w:val="00F83CC7"/>
    <w:rsid w:val="00F91A9E"/>
    <w:rsid w:val="00F976A4"/>
    <w:rsid w:val="00FA435E"/>
    <w:rsid w:val="00FB657B"/>
    <w:rsid w:val="00FC5E49"/>
    <w:rsid w:val="00FC6F5D"/>
    <w:rsid w:val="00FD7953"/>
    <w:rsid w:val="00FE4EEC"/>
    <w:rsid w:val="00FF003D"/>
    <w:rsid w:val="00FF3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1FB"/>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A13E4"/>
    <w:pPr>
      <w:ind w:left="720"/>
      <w:contextualSpacing/>
    </w:pPr>
  </w:style>
  <w:style w:type="paragraph" w:styleId="Nagwek">
    <w:name w:val="header"/>
    <w:basedOn w:val="Normalny"/>
    <w:link w:val="NagwekZnak"/>
    <w:uiPriority w:val="99"/>
    <w:rsid w:val="007D7AE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D7AE4"/>
    <w:rPr>
      <w:rFonts w:cs="Times New Roman"/>
    </w:rPr>
  </w:style>
  <w:style w:type="paragraph" w:styleId="Stopka">
    <w:name w:val="footer"/>
    <w:basedOn w:val="Normalny"/>
    <w:link w:val="StopkaZnak"/>
    <w:uiPriority w:val="99"/>
    <w:rsid w:val="007D7AE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7AE4"/>
    <w:rPr>
      <w:rFonts w:cs="Times New Roman"/>
    </w:rPr>
  </w:style>
  <w:style w:type="paragraph" w:styleId="Tekstprzypisudolnego">
    <w:name w:val="footnote text"/>
    <w:basedOn w:val="Normalny"/>
    <w:link w:val="TekstprzypisudolnegoZnak"/>
    <w:uiPriority w:val="99"/>
    <w:semiHidden/>
    <w:rsid w:val="00665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665340"/>
    <w:rPr>
      <w:rFonts w:cs="Times New Roman"/>
      <w:sz w:val="20"/>
      <w:szCs w:val="20"/>
    </w:rPr>
  </w:style>
  <w:style w:type="character" w:styleId="Odwoanieprzypisudolnego">
    <w:name w:val="footnote reference"/>
    <w:basedOn w:val="Domylnaczcionkaakapitu"/>
    <w:uiPriority w:val="99"/>
    <w:semiHidden/>
    <w:rsid w:val="00665340"/>
    <w:rPr>
      <w:rFonts w:cs="Times New Roman"/>
      <w:vertAlign w:val="superscript"/>
    </w:rPr>
  </w:style>
  <w:style w:type="paragraph" w:styleId="Tekstdymka">
    <w:name w:val="Balloon Text"/>
    <w:basedOn w:val="Normalny"/>
    <w:link w:val="TekstdymkaZnak"/>
    <w:uiPriority w:val="99"/>
    <w:semiHidden/>
    <w:rsid w:val="006F6A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F6A42"/>
    <w:rPr>
      <w:rFonts w:ascii="Tahoma" w:hAnsi="Tahoma" w:cs="Tahoma"/>
      <w:sz w:val="16"/>
      <w:szCs w:val="16"/>
    </w:rPr>
  </w:style>
  <w:style w:type="paragraph" w:styleId="Tekstprzypisukocowego">
    <w:name w:val="endnote text"/>
    <w:basedOn w:val="Normalny"/>
    <w:link w:val="TekstprzypisukocowegoZnak"/>
    <w:uiPriority w:val="99"/>
    <w:semiHidden/>
    <w:rsid w:val="00562B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62BE9"/>
    <w:rPr>
      <w:rFonts w:cs="Times New Roman"/>
      <w:sz w:val="20"/>
      <w:szCs w:val="20"/>
    </w:rPr>
  </w:style>
  <w:style w:type="character" w:styleId="Odwoanieprzypisukocowego">
    <w:name w:val="endnote reference"/>
    <w:basedOn w:val="Domylnaczcionkaakapitu"/>
    <w:uiPriority w:val="99"/>
    <w:semiHidden/>
    <w:rsid w:val="00562BE9"/>
    <w:rPr>
      <w:rFonts w:cs="Times New Roman"/>
      <w:vertAlign w:val="superscript"/>
    </w:rPr>
  </w:style>
  <w:style w:type="character" w:styleId="Hipercze">
    <w:name w:val="Hyperlink"/>
    <w:basedOn w:val="Domylnaczcionkaakapitu"/>
    <w:uiPriority w:val="99"/>
    <w:rsid w:val="005C70C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7807626">
      <w:marLeft w:val="0"/>
      <w:marRight w:val="0"/>
      <w:marTop w:val="0"/>
      <w:marBottom w:val="0"/>
      <w:divBdr>
        <w:top w:val="none" w:sz="0" w:space="0" w:color="auto"/>
        <w:left w:val="none" w:sz="0" w:space="0" w:color="auto"/>
        <w:bottom w:val="none" w:sz="0" w:space="0" w:color="auto"/>
        <w:right w:val="none" w:sz="0" w:space="0" w:color="auto"/>
      </w:divBdr>
      <w:divsChild>
        <w:div w:id="317807642">
          <w:marLeft w:val="0"/>
          <w:marRight w:val="0"/>
          <w:marTop w:val="0"/>
          <w:marBottom w:val="0"/>
          <w:divBdr>
            <w:top w:val="none" w:sz="0" w:space="0" w:color="auto"/>
            <w:left w:val="none" w:sz="0" w:space="0" w:color="auto"/>
            <w:bottom w:val="none" w:sz="0" w:space="0" w:color="auto"/>
            <w:right w:val="none" w:sz="0" w:space="0" w:color="auto"/>
          </w:divBdr>
          <w:divsChild>
            <w:div w:id="317807639">
              <w:marLeft w:val="0"/>
              <w:marRight w:val="0"/>
              <w:marTop w:val="0"/>
              <w:marBottom w:val="0"/>
              <w:divBdr>
                <w:top w:val="none" w:sz="0" w:space="0" w:color="auto"/>
                <w:left w:val="none" w:sz="0" w:space="0" w:color="auto"/>
                <w:bottom w:val="none" w:sz="0" w:space="0" w:color="auto"/>
                <w:right w:val="none" w:sz="0" w:space="0" w:color="auto"/>
              </w:divBdr>
              <w:divsChild>
                <w:div w:id="3178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7632">
      <w:marLeft w:val="0"/>
      <w:marRight w:val="0"/>
      <w:marTop w:val="0"/>
      <w:marBottom w:val="0"/>
      <w:divBdr>
        <w:top w:val="none" w:sz="0" w:space="0" w:color="auto"/>
        <w:left w:val="none" w:sz="0" w:space="0" w:color="auto"/>
        <w:bottom w:val="none" w:sz="0" w:space="0" w:color="auto"/>
        <w:right w:val="none" w:sz="0" w:space="0" w:color="auto"/>
      </w:divBdr>
      <w:divsChild>
        <w:div w:id="317807669">
          <w:marLeft w:val="0"/>
          <w:marRight w:val="0"/>
          <w:marTop w:val="0"/>
          <w:marBottom w:val="0"/>
          <w:divBdr>
            <w:top w:val="none" w:sz="0" w:space="0" w:color="auto"/>
            <w:left w:val="none" w:sz="0" w:space="0" w:color="auto"/>
            <w:bottom w:val="none" w:sz="0" w:space="0" w:color="auto"/>
            <w:right w:val="none" w:sz="0" w:space="0" w:color="auto"/>
          </w:divBdr>
          <w:divsChild>
            <w:div w:id="317807627">
              <w:marLeft w:val="0"/>
              <w:marRight w:val="0"/>
              <w:marTop w:val="0"/>
              <w:marBottom w:val="0"/>
              <w:divBdr>
                <w:top w:val="none" w:sz="0" w:space="0" w:color="auto"/>
                <w:left w:val="none" w:sz="0" w:space="0" w:color="auto"/>
                <w:bottom w:val="none" w:sz="0" w:space="0" w:color="auto"/>
                <w:right w:val="none" w:sz="0" w:space="0" w:color="auto"/>
              </w:divBdr>
              <w:divsChild>
                <w:div w:id="317807653">
                  <w:marLeft w:val="0"/>
                  <w:marRight w:val="0"/>
                  <w:marTop w:val="0"/>
                  <w:marBottom w:val="0"/>
                  <w:divBdr>
                    <w:top w:val="none" w:sz="0" w:space="0" w:color="auto"/>
                    <w:left w:val="none" w:sz="0" w:space="0" w:color="auto"/>
                    <w:bottom w:val="none" w:sz="0" w:space="0" w:color="auto"/>
                    <w:right w:val="none" w:sz="0" w:space="0" w:color="auto"/>
                  </w:divBdr>
                  <w:divsChild>
                    <w:div w:id="317807638">
                      <w:marLeft w:val="0"/>
                      <w:marRight w:val="0"/>
                      <w:marTop w:val="0"/>
                      <w:marBottom w:val="0"/>
                      <w:divBdr>
                        <w:top w:val="none" w:sz="0" w:space="0" w:color="auto"/>
                        <w:left w:val="none" w:sz="0" w:space="0" w:color="auto"/>
                        <w:bottom w:val="none" w:sz="0" w:space="0" w:color="auto"/>
                        <w:right w:val="none" w:sz="0" w:space="0" w:color="auto"/>
                      </w:divBdr>
                    </w:div>
                    <w:div w:id="317807641">
                      <w:marLeft w:val="0"/>
                      <w:marRight w:val="0"/>
                      <w:marTop w:val="0"/>
                      <w:marBottom w:val="0"/>
                      <w:divBdr>
                        <w:top w:val="none" w:sz="0" w:space="0" w:color="auto"/>
                        <w:left w:val="none" w:sz="0" w:space="0" w:color="auto"/>
                        <w:bottom w:val="none" w:sz="0" w:space="0" w:color="auto"/>
                        <w:right w:val="none" w:sz="0" w:space="0" w:color="auto"/>
                      </w:divBdr>
                      <w:divsChild>
                        <w:div w:id="317807662">
                          <w:marLeft w:val="0"/>
                          <w:marRight w:val="0"/>
                          <w:marTop w:val="0"/>
                          <w:marBottom w:val="0"/>
                          <w:divBdr>
                            <w:top w:val="none" w:sz="0" w:space="0" w:color="auto"/>
                            <w:left w:val="none" w:sz="0" w:space="0" w:color="auto"/>
                            <w:bottom w:val="none" w:sz="0" w:space="0" w:color="auto"/>
                            <w:right w:val="none" w:sz="0" w:space="0" w:color="auto"/>
                          </w:divBdr>
                        </w:div>
                      </w:divsChild>
                    </w:div>
                    <w:div w:id="317807654">
                      <w:marLeft w:val="0"/>
                      <w:marRight w:val="0"/>
                      <w:marTop w:val="0"/>
                      <w:marBottom w:val="0"/>
                      <w:divBdr>
                        <w:top w:val="none" w:sz="0" w:space="0" w:color="auto"/>
                        <w:left w:val="none" w:sz="0" w:space="0" w:color="auto"/>
                        <w:bottom w:val="none" w:sz="0" w:space="0" w:color="auto"/>
                        <w:right w:val="none" w:sz="0" w:space="0" w:color="auto"/>
                      </w:divBdr>
                      <w:divsChild>
                        <w:div w:id="3178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07634">
      <w:marLeft w:val="0"/>
      <w:marRight w:val="0"/>
      <w:marTop w:val="0"/>
      <w:marBottom w:val="0"/>
      <w:divBdr>
        <w:top w:val="none" w:sz="0" w:space="0" w:color="auto"/>
        <w:left w:val="none" w:sz="0" w:space="0" w:color="auto"/>
        <w:bottom w:val="none" w:sz="0" w:space="0" w:color="auto"/>
        <w:right w:val="none" w:sz="0" w:space="0" w:color="auto"/>
      </w:divBdr>
      <w:divsChild>
        <w:div w:id="317807646">
          <w:marLeft w:val="0"/>
          <w:marRight w:val="0"/>
          <w:marTop w:val="0"/>
          <w:marBottom w:val="0"/>
          <w:divBdr>
            <w:top w:val="none" w:sz="0" w:space="0" w:color="auto"/>
            <w:left w:val="none" w:sz="0" w:space="0" w:color="auto"/>
            <w:bottom w:val="none" w:sz="0" w:space="0" w:color="auto"/>
            <w:right w:val="none" w:sz="0" w:space="0" w:color="auto"/>
          </w:divBdr>
          <w:divsChild>
            <w:div w:id="317807661">
              <w:marLeft w:val="0"/>
              <w:marRight w:val="0"/>
              <w:marTop w:val="0"/>
              <w:marBottom w:val="0"/>
              <w:divBdr>
                <w:top w:val="none" w:sz="0" w:space="0" w:color="auto"/>
                <w:left w:val="none" w:sz="0" w:space="0" w:color="auto"/>
                <w:bottom w:val="none" w:sz="0" w:space="0" w:color="auto"/>
                <w:right w:val="none" w:sz="0" w:space="0" w:color="auto"/>
              </w:divBdr>
              <w:divsChild>
                <w:div w:id="317807647">
                  <w:marLeft w:val="720"/>
                  <w:marRight w:val="0"/>
                  <w:marTop w:val="0"/>
                  <w:marBottom w:val="0"/>
                  <w:divBdr>
                    <w:top w:val="none" w:sz="0" w:space="0" w:color="auto"/>
                    <w:left w:val="none" w:sz="0" w:space="0" w:color="auto"/>
                    <w:bottom w:val="none" w:sz="0" w:space="0" w:color="auto"/>
                    <w:right w:val="none" w:sz="0" w:space="0" w:color="auto"/>
                  </w:divBdr>
                </w:div>
                <w:div w:id="317807655">
                  <w:marLeft w:val="120"/>
                  <w:marRight w:val="0"/>
                  <w:marTop w:val="0"/>
                  <w:marBottom w:val="0"/>
                  <w:divBdr>
                    <w:top w:val="none" w:sz="0" w:space="0" w:color="auto"/>
                    <w:left w:val="none" w:sz="0" w:space="0" w:color="auto"/>
                    <w:bottom w:val="none" w:sz="0" w:space="0" w:color="auto"/>
                    <w:right w:val="none" w:sz="0" w:space="0" w:color="auto"/>
                  </w:divBdr>
                </w:div>
                <w:div w:id="317807659">
                  <w:marLeft w:val="720"/>
                  <w:marRight w:val="0"/>
                  <w:marTop w:val="0"/>
                  <w:marBottom w:val="0"/>
                  <w:divBdr>
                    <w:top w:val="none" w:sz="0" w:space="0" w:color="auto"/>
                    <w:left w:val="none" w:sz="0" w:space="0" w:color="auto"/>
                    <w:bottom w:val="none" w:sz="0" w:space="0" w:color="auto"/>
                    <w:right w:val="none" w:sz="0" w:space="0" w:color="auto"/>
                  </w:divBdr>
                </w:div>
                <w:div w:id="3178076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7643">
      <w:marLeft w:val="0"/>
      <w:marRight w:val="0"/>
      <w:marTop w:val="0"/>
      <w:marBottom w:val="0"/>
      <w:divBdr>
        <w:top w:val="none" w:sz="0" w:space="0" w:color="auto"/>
        <w:left w:val="none" w:sz="0" w:space="0" w:color="auto"/>
        <w:bottom w:val="none" w:sz="0" w:space="0" w:color="auto"/>
        <w:right w:val="none" w:sz="0" w:space="0" w:color="auto"/>
      </w:divBdr>
      <w:divsChild>
        <w:div w:id="317807650">
          <w:marLeft w:val="0"/>
          <w:marRight w:val="0"/>
          <w:marTop w:val="0"/>
          <w:marBottom w:val="0"/>
          <w:divBdr>
            <w:top w:val="none" w:sz="0" w:space="0" w:color="auto"/>
            <w:left w:val="none" w:sz="0" w:space="0" w:color="auto"/>
            <w:bottom w:val="none" w:sz="0" w:space="0" w:color="auto"/>
            <w:right w:val="none" w:sz="0" w:space="0" w:color="auto"/>
          </w:divBdr>
          <w:divsChild>
            <w:div w:id="317807657">
              <w:marLeft w:val="0"/>
              <w:marRight w:val="0"/>
              <w:marTop w:val="0"/>
              <w:marBottom w:val="0"/>
              <w:divBdr>
                <w:top w:val="none" w:sz="0" w:space="0" w:color="auto"/>
                <w:left w:val="none" w:sz="0" w:space="0" w:color="auto"/>
                <w:bottom w:val="none" w:sz="0" w:space="0" w:color="auto"/>
                <w:right w:val="none" w:sz="0" w:space="0" w:color="auto"/>
              </w:divBdr>
              <w:divsChild>
                <w:div w:id="317807631">
                  <w:marLeft w:val="0"/>
                  <w:marRight w:val="0"/>
                  <w:marTop w:val="0"/>
                  <w:marBottom w:val="0"/>
                  <w:divBdr>
                    <w:top w:val="none" w:sz="0" w:space="0" w:color="auto"/>
                    <w:left w:val="none" w:sz="0" w:space="0" w:color="auto"/>
                    <w:bottom w:val="none" w:sz="0" w:space="0" w:color="auto"/>
                    <w:right w:val="none" w:sz="0" w:space="0" w:color="auto"/>
                  </w:divBdr>
                  <w:divsChild>
                    <w:div w:id="317807645">
                      <w:marLeft w:val="0"/>
                      <w:marRight w:val="0"/>
                      <w:marTop w:val="0"/>
                      <w:marBottom w:val="0"/>
                      <w:divBdr>
                        <w:top w:val="none" w:sz="0" w:space="0" w:color="auto"/>
                        <w:left w:val="none" w:sz="0" w:space="0" w:color="auto"/>
                        <w:bottom w:val="none" w:sz="0" w:space="0" w:color="auto"/>
                        <w:right w:val="none" w:sz="0" w:space="0" w:color="auto"/>
                      </w:divBdr>
                    </w:div>
                    <w:div w:id="317807660">
                      <w:marLeft w:val="0"/>
                      <w:marRight w:val="0"/>
                      <w:marTop w:val="0"/>
                      <w:marBottom w:val="0"/>
                      <w:divBdr>
                        <w:top w:val="none" w:sz="0" w:space="0" w:color="auto"/>
                        <w:left w:val="none" w:sz="0" w:space="0" w:color="auto"/>
                        <w:bottom w:val="none" w:sz="0" w:space="0" w:color="auto"/>
                        <w:right w:val="none" w:sz="0" w:space="0" w:color="auto"/>
                      </w:divBdr>
                      <w:divsChild>
                        <w:div w:id="317807625">
                          <w:marLeft w:val="0"/>
                          <w:marRight w:val="0"/>
                          <w:marTop w:val="0"/>
                          <w:marBottom w:val="0"/>
                          <w:divBdr>
                            <w:top w:val="none" w:sz="0" w:space="0" w:color="auto"/>
                            <w:left w:val="none" w:sz="0" w:space="0" w:color="auto"/>
                            <w:bottom w:val="none" w:sz="0" w:space="0" w:color="auto"/>
                            <w:right w:val="none" w:sz="0" w:space="0" w:color="auto"/>
                          </w:divBdr>
                        </w:div>
                      </w:divsChild>
                    </w:div>
                    <w:div w:id="317807664">
                      <w:marLeft w:val="0"/>
                      <w:marRight w:val="0"/>
                      <w:marTop w:val="0"/>
                      <w:marBottom w:val="0"/>
                      <w:divBdr>
                        <w:top w:val="none" w:sz="0" w:space="0" w:color="auto"/>
                        <w:left w:val="none" w:sz="0" w:space="0" w:color="auto"/>
                        <w:bottom w:val="none" w:sz="0" w:space="0" w:color="auto"/>
                        <w:right w:val="none" w:sz="0" w:space="0" w:color="auto"/>
                      </w:divBdr>
                      <w:divsChild>
                        <w:div w:id="3178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07644">
      <w:marLeft w:val="0"/>
      <w:marRight w:val="0"/>
      <w:marTop w:val="0"/>
      <w:marBottom w:val="0"/>
      <w:divBdr>
        <w:top w:val="none" w:sz="0" w:space="0" w:color="auto"/>
        <w:left w:val="none" w:sz="0" w:space="0" w:color="auto"/>
        <w:bottom w:val="none" w:sz="0" w:space="0" w:color="auto"/>
        <w:right w:val="none" w:sz="0" w:space="0" w:color="auto"/>
      </w:divBdr>
      <w:divsChild>
        <w:div w:id="317807628">
          <w:marLeft w:val="0"/>
          <w:marRight w:val="0"/>
          <w:marTop w:val="0"/>
          <w:marBottom w:val="0"/>
          <w:divBdr>
            <w:top w:val="none" w:sz="0" w:space="0" w:color="auto"/>
            <w:left w:val="none" w:sz="0" w:space="0" w:color="auto"/>
            <w:bottom w:val="none" w:sz="0" w:space="0" w:color="auto"/>
            <w:right w:val="none" w:sz="0" w:space="0" w:color="auto"/>
          </w:divBdr>
          <w:divsChild>
            <w:div w:id="317807671">
              <w:marLeft w:val="0"/>
              <w:marRight w:val="0"/>
              <w:marTop w:val="0"/>
              <w:marBottom w:val="0"/>
              <w:divBdr>
                <w:top w:val="none" w:sz="0" w:space="0" w:color="auto"/>
                <w:left w:val="none" w:sz="0" w:space="0" w:color="auto"/>
                <w:bottom w:val="none" w:sz="0" w:space="0" w:color="auto"/>
                <w:right w:val="none" w:sz="0" w:space="0" w:color="auto"/>
              </w:divBdr>
              <w:divsChild>
                <w:div w:id="317807658">
                  <w:marLeft w:val="0"/>
                  <w:marRight w:val="0"/>
                  <w:marTop w:val="0"/>
                  <w:marBottom w:val="0"/>
                  <w:divBdr>
                    <w:top w:val="none" w:sz="0" w:space="0" w:color="auto"/>
                    <w:left w:val="none" w:sz="0" w:space="0" w:color="auto"/>
                    <w:bottom w:val="none" w:sz="0" w:space="0" w:color="auto"/>
                    <w:right w:val="none" w:sz="0" w:space="0" w:color="auto"/>
                  </w:divBdr>
                  <w:divsChild>
                    <w:div w:id="317807629">
                      <w:marLeft w:val="0"/>
                      <w:marRight w:val="0"/>
                      <w:marTop w:val="0"/>
                      <w:marBottom w:val="0"/>
                      <w:divBdr>
                        <w:top w:val="none" w:sz="0" w:space="0" w:color="auto"/>
                        <w:left w:val="none" w:sz="0" w:space="0" w:color="auto"/>
                        <w:bottom w:val="none" w:sz="0" w:space="0" w:color="auto"/>
                        <w:right w:val="none" w:sz="0" w:space="0" w:color="auto"/>
                      </w:divBdr>
                    </w:div>
                    <w:div w:id="317807633">
                      <w:marLeft w:val="0"/>
                      <w:marRight w:val="0"/>
                      <w:marTop w:val="0"/>
                      <w:marBottom w:val="0"/>
                      <w:divBdr>
                        <w:top w:val="none" w:sz="0" w:space="0" w:color="auto"/>
                        <w:left w:val="none" w:sz="0" w:space="0" w:color="auto"/>
                        <w:bottom w:val="none" w:sz="0" w:space="0" w:color="auto"/>
                        <w:right w:val="none" w:sz="0" w:space="0" w:color="auto"/>
                      </w:divBdr>
                      <w:divsChild>
                        <w:div w:id="317807667">
                          <w:marLeft w:val="0"/>
                          <w:marRight w:val="0"/>
                          <w:marTop w:val="0"/>
                          <w:marBottom w:val="0"/>
                          <w:divBdr>
                            <w:top w:val="none" w:sz="0" w:space="0" w:color="auto"/>
                            <w:left w:val="none" w:sz="0" w:space="0" w:color="auto"/>
                            <w:bottom w:val="none" w:sz="0" w:space="0" w:color="auto"/>
                            <w:right w:val="none" w:sz="0" w:space="0" w:color="auto"/>
                          </w:divBdr>
                        </w:div>
                      </w:divsChild>
                    </w:div>
                    <w:div w:id="317807663">
                      <w:marLeft w:val="0"/>
                      <w:marRight w:val="0"/>
                      <w:marTop w:val="0"/>
                      <w:marBottom w:val="0"/>
                      <w:divBdr>
                        <w:top w:val="none" w:sz="0" w:space="0" w:color="auto"/>
                        <w:left w:val="none" w:sz="0" w:space="0" w:color="auto"/>
                        <w:bottom w:val="none" w:sz="0" w:space="0" w:color="auto"/>
                        <w:right w:val="none" w:sz="0" w:space="0" w:color="auto"/>
                      </w:divBdr>
                      <w:divsChild>
                        <w:div w:id="3178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07648">
      <w:marLeft w:val="0"/>
      <w:marRight w:val="0"/>
      <w:marTop w:val="0"/>
      <w:marBottom w:val="0"/>
      <w:divBdr>
        <w:top w:val="none" w:sz="0" w:space="0" w:color="auto"/>
        <w:left w:val="none" w:sz="0" w:space="0" w:color="auto"/>
        <w:bottom w:val="none" w:sz="0" w:space="0" w:color="auto"/>
        <w:right w:val="none" w:sz="0" w:space="0" w:color="auto"/>
      </w:divBdr>
      <w:divsChild>
        <w:div w:id="317807656">
          <w:marLeft w:val="0"/>
          <w:marRight w:val="0"/>
          <w:marTop w:val="0"/>
          <w:marBottom w:val="0"/>
          <w:divBdr>
            <w:top w:val="none" w:sz="0" w:space="0" w:color="auto"/>
            <w:left w:val="none" w:sz="0" w:space="0" w:color="auto"/>
            <w:bottom w:val="none" w:sz="0" w:space="0" w:color="auto"/>
            <w:right w:val="none" w:sz="0" w:space="0" w:color="auto"/>
          </w:divBdr>
          <w:divsChild>
            <w:div w:id="317807666">
              <w:marLeft w:val="0"/>
              <w:marRight w:val="0"/>
              <w:marTop w:val="0"/>
              <w:marBottom w:val="0"/>
              <w:divBdr>
                <w:top w:val="none" w:sz="0" w:space="0" w:color="auto"/>
                <w:left w:val="none" w:sz="0" w:space="0" w:color="auto"/>
                <w:bottom w:val="none" w:sz="0" w:space="0" w:color="auto"/>
                <w:right w:val="none" w:sz="0" w:space="0" w:color="auto"/>
              </w:divBdr>
              <w:divsChild>
                <w:div w:id="317807630">
                  <w:marLeft w:val="0"/>
                  <w:marRight w:val="0"/>
                  <w:marTop w:val="0"/>
                  <w:marBottom w:val="0"/>
                  <w:divBdr>
                    <w:top w:val="none" w:sz="0" w:space="0" w:color="auto"/>
                    <w:left w:val="none" w:sz="0" w:space="0" w:color="auto"/>
                    <w:bottom w:val="none" w:sz="0" w:space="0" w:color="auto"/>
                    <w:right w:val="none" w:sz="0" w:space="0" w:color="auto"/>
                  </w:divBdr>
                </w:div>
                <w:div w:id="317807635">
                  <w:marLeft w:val="0"/>
                  <w:marRight w:val="0"/>
                  <w:marTop w:val="0"/>
                  <w:marBottom w:val="0"/>
                  <w:divBdr>
                    <w:top w:val="none" w:sz="0" w:space="0" w:color="auto"/>
                    <w:left w:val="none" w:sz="0" w:space="0" w:color="auto"/>
                    <w:bottom w:val="none" w:sz="0" w:space="0" w:color="auto"/>
                    <w:right w:val="none" w:sz="0" w:space="0" w:color="auto"/>
                  </w:divBdr>
                </w:div>
                <w:div w:id="317807636">
                  <w:marLeft w:val="0"/>
                  <w:marRight w:val="0"/>
                  <w:marTop w:val="0"/>
                  <w:marBottom w:val="0"/>
                  <w:divBdr>
                    <w:top w:val="none" w:sz="0" w:space="0" w:color="auto"/>
                    <w:left w:val="none" w:sz="0" w:space="0" w:color="auto"/>
                    <w:bottom w:val="none" w:sz="0" w:space="0" w:color="auto"/>
                    <w:right w:val="none" w:sz="0" w:space="0" w:color="auto"/>
                  </w:divBdr>
                </w:div>
                <w:div w:id="317807640">
                  <w:marLeft w:val="0"/>
                  <w:marRight w:val="0"/>
                  <w:marTop w:val="0"/>
                  <w:marBottom w:val="0"/>
                  <w:divBdr>
                    <w:top w:val="none" w:sz="0" w:space="0" w:color="auto"/>
                    <w:left w:val="none" w:sz="0" w:space="0" w:color="auto"/>
                    <w:bottom w:val="none" w:sz="0" w:space="0" w:color="auto"/>
                    <w:right w:val="none" w:sz="0" w:space="0" w:color="auto"/>
                  </w:divBdr>
                </w:div>
                <w:div w:id="317807649">
                  <w:marLeft w:val="0"/>
                  <w:marRight w:val="0"/>
                  <w:marTop w:val="0"/>
                  <w:marBottom w:val="0"/>
                  <w:divBdr>
                    <w:top w:val="none" w:sz="0" w:space="0" w:color="auto"/>
                    <w:left w:val="none" w:sz="0" w:space="0" w:color="auto"/>
                    <w:bottom w:val="none" w:sz="0" w:space="0" w:color="auto"/>
                    <w:right w:val="none" w:sz="0" w:space="0" w:color="auto"/>
                  </w:divBdr>
                </w:div>
                <w:div w:id="317807665">
                  <w:marLeft w:val="0"/>
                  <w:marRight w:val="0"/>
                  <w:marTop w:val="0"/>
                  <w:marBottom w:val="0"/>
                  <w:divBdr>
                    <w:top w:val="none" w:sz="0" w:space="0" w:color="auto"/>
                    <w:left w:val="none" w:sz="0" w:space="0" w:color="auto"/>
                    <w:bottom w:val="none" w:sz="0" w:space="0" w:color="auto"/>
                    <w:right w:val="none" w:sz="0" w:space="0" w:color="auto"/>
                  </w:divBdr>
                </w:div>
                <w:div w:id="3178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6932</Characters>
  <Application>Microsoft Office Word</Application>
  <DocSecurity>0</DocSecurity>
  <Lines>57</Lines>
  <Paragraphs>16</Paragraphs>
  <ScaleCrop>false</ScaleCrop>
  <Company>Kancelaria Radcy Prawnego</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Khler</dc:creator>
  <cp:keywords/>
  <dc:description/>
  <cp:lastModifiedBy>Admin</cp:lastModifiedBy>
  <cp:revision>2</cp:revision>
  <cp:lastPrinted>2012-07-02T14:57:00Z</cp:lastPrinted>
  <dcterms:created xsi:type="dcterms:W3CDTF">2013-08-26T11:11:00Z</dcterms:created>
  <dcterms:modified xsi:type="dcterms:W3CDTF">2013-08-26T11:11:00Z</dcterms:modified>
</cp:coreProperties>
</file>